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2"/>
          <w:szCs w:val="12"/>
          <w:b w:val="1"/>
          <w:bCs w:val="1"/>
          <w:color w:val="auto"/>
        </w:rPr>
        <w:t>As filed with the Securities and Exchange Commission on June 25, 2026</w:t>
      </w:r>
    </w:p>
    <w:p>
      <w:pPr>
        <w:spacing w:after="0" w:line="24" w:lineRule="exact"/>
        <w:rPr>
          <w:sz w:val="24"/>
          <w:szCs w:val="24"/>
          <w:color w:val="auto"/>
        </w:rPr>
      </w:pPr>
    </w:p>
    <w:p>
      <w:pPr>
        <w:ind w:left="8340"/>
        <w:spacing w:after="0"/>
        <w:rPr>
          <w:sz w:val="20"/>
          <w:szCs w:val="20"/>
          <w:color w:val="auto"/>
        </w:rPr>
      </w:pPr>
      <w:r>
        <w:rPr>
          <w:rFonts w:ascii="Times New Roman" w:cs="Times New Roman" w:eastAsia="Times New Roman" w:hAnsi="Times New Roman"/>
          <w:sz w:val="12"/>
          <w:szCs w:val="12"/>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926465</wp:posOffset>
            </wp:positionH>
            <wp:positionV relativeFrom="paragraph">
              <wp:posOffset>65405</wp:posOffset>
            </wp:positionV>
            <wp:extent cx="531558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15585" cy="6350"/>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97790</wp:posOffset>
            </wp:positionV>
            <wp:extent cx="531558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15585" cy="6350"/>
                    </a:xfrm>
                    <a:prstGeom prst="rect">
                      <a:avLst/>
                    </a:prstGeom>
                    <a:noFill/>
                  </pic:spPr>
                </pic:pic>
              </a:graphicData>
            </a:graphic>
          </wp:anchor>
        </w:drawing>
      </w:r>
    </w:p>
    <w:p>
      <w:pPr>
        <w:spacing w:after="0" w:line="2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3023870</wp:posOffset>
            </wp:positionH>
            <wp:positionV relativeFrom="paragraph">
              <wp:posOffset>170815</wp:posOffset>
            </wp:positionV>
            <wp:extent cx="112014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39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S-3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3023870</wp:posOffset>
            </wp:positionH>
            <wp:positionV relativeFrom="paragraph">
              <wp:posOffset>172085</wp:posOffset>
            </wp:positionV>
            <wp:extent cx="112014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38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Q32 BIO INC.</w:t>
      </w:r>
    </w:p>
    <w:p>
      <w:pPr>
        <w:spacing w:after="0" w:line="38"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3023870</wp:posOffset>
            </wp:positionH>
            <wp:positionV relativeFrom="paragraph">
              <wp:posOffset>184150</wp:posOffset>
            </wp:positionV>
            <wp:extent cx="112014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tbl>
      <w:tblPr>
        <w:tblLayout w:type="fixed"/>
        <w:tblInd w:w="2860" w:type="dxa"/>
        <w:tblCellMar>
          <w:top w:w="0" w:type="dxa"/>
          <w:left w:w="0" w:type="dxa"/>
          <w:bottom w:w="0" w:type="dxa"/>
          <w:right w:w="0" w:type="dxa"/>
        </w:tblCellMar>
      </w:tblPr>
      <w:tr>
        <w:trPr>
          <w:trHeight w:val="148"/>
        </w:trPr>
        <w:tc>
          <w:tcPr>
            <w:tcW w:w="2920" w:type="dxa"/>
            <w:vAlign w:val="bottom"/>
          </w:tcPr>
          <w:p>
            <w:pPr>
              <w:jc w:val="center"/>
              <w:ind w:right="1443"/>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2560" w:type="dxa"/>
            <w:vAlign w:val="bottom"/>
          </w:tcPr>
          <w:p>
            <w:pPr>
              <w:jc w:val="center"/>
              <w:ind w:left="1423"/>
              <w:spacing w:after="0"/>
              <w:rPr>
                <w:sz w:val="20"/>
                <w:szCs w:val="20"/>
                <w:color w:val="auto"/>
              </w:rPr>
            </w:pPr>
            <w:r>
              <w:rPr>
                <w:rFonts w:ascii="Times New Roman" w:cs="Times New Roman" w:eastAsia="Times New Roman" w:hAnsi="Times New Roman"/>
                <w:sz w:val="12"/>
                <w:szCs w:val="12"/>
                <w:b w:val="1"/>
                <w:bCs w:val="1"/>
                <w:color w:val="auto"/>
              </w:rPr>
              <w:t>47-3468154</w:t>
            </w:r>
          </w:p>
        </w:tc>
      </w:tr>
      <w:tr>
        <w:trPr>
          <w:trHeight w:val="113"/>
        </w:trPr>
        <w:tc>
          <w:tcPr>
            <w:tcW w:w="2920" w:type="dxa"/>
            <w:vAlign w:val="bottom"/>
          </w:tcPr>
          <w:p>
            <w:pPr>
              <w:jc w:val="center"/>
              <w:ind w:right="1443"/>
              <w:spacing w:after="0" w:line="113"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560" w:type="dxa"/>
            <w:vAlign w:val="bottom"/>
          </w:tcPr>
          <w:p>
            <w:pPr>
              <w:jc w:val="center"/>
              <w:ind w:left="1423"/>
              <w:spacing w:after="0" w:line="113"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3"/>
        </w:trPr>
        <w:tc>
          <w:tcPr>
            <w:tcW w:w="2920" w:type="dxa"/>
            <w:vAlign w:val="bottom"/>
          </w:tcPr>
          <w:p>
            <w:pPr>
              <w:jc w:val="center"/>
              <w:ind w:right="1443"/>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2560" w:type="dxa"/>
            <w:vAlign w:val="bottom"/>
          </w:tcPr>
          <w:p>
            <w:pPr>
              <w:jc w:val="center"/>
              <w:ind w:left="1423"/>
              <w:spacing w:after="0"/>
              <w:rPr>
                <w:sz w:val="20"/>
                <w:szCs w:val="20"/>
                <w:color w:val="auto"/>
              </w:rPr>
            </w:pPr>
            <w:r>
              <w:rPr>
                <w:rFonts w:ascii="Times New Roman" w:cs="Times New Roman" w:eastAsia="Times New Roman" w:hAnsi="Times New Roman"/>
                <w:sz w:val="11"/>
                <w:szCs w:val="11"/>
                <w:b w:val="1"/>
                <w:bCs w:val="1"/>
                <w:color w:val="auto"/>
                <w:w w:val="98"/>
              </w:rPr>
              <w:t>Identification Number)</w:t>
            </w:r>
          </w:p>
        </w:tc>
      </w:tr>
    </w:tbl>
    <w:p>
      <w:pPr>
        <w:spacing w:after="0" w:line="1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830 Winter Street</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Waltham, MA 02451</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(781) 999-0232</w:t>
      </w:r>
    </w:p>
    <w:p>
      <w:pPr>
        <w:spacing w:after="0" w:line="16"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3023870</wp:posOffset>
            </wp:positionH>
            <wp:positionV relativeFrom="paragraph">
              <wp:posOffset>170180</wp:posOffset>
            </wp:positionV>
            <wp:extent cx="112014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3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Jodie Morrison</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Chief Executive Officer</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Q32 Bio Inc.</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830 Winter Street</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Waltham, MA 02451</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(781) 999-0232</w:t>
      </w:r>
    </w:p>
    <w:p>
      <w:pPr>
        <w:spacing w:after="0" w:line="16"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3023870</wp:posOffset>
            </wp:positionH>
            <wp:positionV relativeFrom="paragraph">
              <wp:posOffset>163830</wp:posOffset>
            </wp:positionV>
            <wp:extent cx="112014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40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i w:val="1"/>
          <w:iCs w:val="1"/>
          <w:color w:val="auto"/>
        </w:rPr>
        <w:t>Copies to:</w:t>
      </w:r>
    </w:p>
    <w:p>
      <w:pPr>
        <w:spacing w:after="0" w:line="9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Sarah Ashfaq, Esq.</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Jacqueline Mercier, Esq.</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Alicia Tschirhart, Esq.</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Goodwin Procter LLP</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100 Northern Avenue</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Boston, MA 02210</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3023870</wp:posOffset>
            </wp:positionH>
            <wp:positionV relativeFrom="paragraph">
              <wp:posOffset>182880</wp:posOffset>
            </wp:positionV>
            <wp:extent cx="112014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2"/>
          <w:szCs w:val="12"/>
          <w:b w:val="1"/>
          <w:bCs w:val="1"/>
          <w:color w:val="auto"/>
        </w:rPr>
        <w:t xml:space="preserve">Approximate Date of Commencement of Proposed Sale to the Public: </w:t>
      </w:r>
      <w:r>
        <w:rPr>
          <w:rFonts w:ascii="Times New Roman" w:cs="Times New Roman" w:eastAsia="Times New Roman" w:hAnsi="Times New Roman"/>
          <w:sz w:val="12"/>
          <w:szCs w:val="12"/>
          <w:color w:val="auto"/>
        </w:rPr>
        <w:t>From time to time after the effective date of this registration statement.</w:t>
      </w:r>
    </w:p>
    <w:p>
      <w:pPr>
        <w:spacing w:after="0" w:line="135" w:lineRule="exact"/>
        <w:rPr>
          <w:sz w:val="24"/>
          <w:szCs w:val="24"/>
          <w:color w:val="auto"/>
        </w:rPr>
      </w:pPr>
    </w:p>
    <w:p>
      <w:pPr>
        <w:ind w:left="1460"/>
        <w:spacing w:after="0" w:line="138" w:lineRule="exact"/>
        <w:rPr>
          <w:sz w:val="20"/>
          <w:szCs w:val="20"/>
          <w:color w:val="auto"/>
        </w:rPr>
      </w:pPr>
      <w:r>
        <w:rPr>
          <w:rFonts w:ascii="Times New Roman" w:cs="Times New Roman" w:eastAsia="Times New Roman" w:hAnsi="Times New Roman"/>
          <w:sz w:val="12"/>
          <w:szCs w:val="12"/>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2"/>
          <w:szCs w:val="12"/>
          <w:color w:val="auto"/>
        </w:rPr>
        <w:t>☐</w:t>
      </w:r>
    </w:p>
    <w:p>
      <w:pPr>
        <w:spacing w:after="0" w:line="186" w:lineRule="exact"/>
        <w:rPr>
          <w:sz w:val="24"/>
          <w:szCs w:val="24"/>
          <w:color w:val="auto"/>
        </w:rPr>
      </w:pPr>
    </w:p>
    <w:p>
      <w:pPr>
        <w:ind w:left="1460" w:right="399"/>
        <w:spacing w:after="0" w:line="151" w:lineRule="exact"/>
        <w:rPr>
          <w:sz w:val="20"/>
          <w:szCs w:val="20"/>
          <w:color w:val="auto"/>
        </w:rPr>
      </w:pPr>
      <w:r>
        <w:rPr>
          <w:rFonts w:ascii="Times New Roman" w:cs="Times New Roman" w:eastAsia="Times New Roman" w:hAnsi="Times New Roman"/>
          <w:sz w:val="12"/>
          <w:szCs w:val="12"/>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2"/>
          <w:szCs w:val="12"/>
          <w:color w:val="auto"/>
        </w:rPr>
        <w:t>☒</w:t>
      </w:r>
    </w:p>
    <w:p>
      <w:pPr>
        <w:spacing w:after="0" w:line="131" w:lineRule="exact"/>
        <w:rPr>
          <w:sz w:val="24"/>
          <w:szCs w:val="24"/>
          <w:color w:val="auto"/>
        </w:rPr>
      </w:pPr>
    </w:p>
    <w:p>
      <w:pPr>
        <w:ind w:left="1460" w:right="619"/>
        <w:spacing w:after="0" w:line="151"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31" w:lineRule="exact"/>
        <w:rPr>
          <w:sz w:val="24"/>
          <w:szCs w:val="24"/>
          <w:color w:val="auto"/>
        </w:rPr>
      </w:pPr>
    </w:p>
    <w:p>
      <w:pPr>
        <w:ind w:left="1460" w:right="379"/>
        <w:spacing w:after="0" w:line="151"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31" w:lineRule="exact"/>
        <w:rPr>
          <w:sz w:val="24"/>
          <w:szCs w:val="24"/>
          <w:color w:val="auto"/>
        </w:rPr>
      </w:pPr>
    </w:p>
    <w:p>
      <w:pPr>
        <w:ind w:left="1460" w:right="599"/>
        <w:spacing w:after="0" w:line="151" w:lineRule="exact"/>
        <w:rPr>
          <w:sz w:val="20"/>
          <w:szCs w:val="20"/>
          <w:color w:val="auto"/>
        </w:rPr>
      </w:pPr>
      <w:r>
        <w:rPr>
          <w:rFonts w:ascii="Times New Roman" w:cs="Times New Roman" w:eastAsia="Times New Roman" w:hAnsi="Times New Roman"/>
          <w:sz w:val="12"/>
          <w:szCs w:val="12"/>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2"/>
          <w:szCs w:val="12"/>
          <w:color w:val="auto"/>
        </w:rPr>
        <w:t>☐</w:t>
      </w:r>
    </w:p>
    <w:p>
      <w:pPr>
        <w:spacing w:after="0" w:line="131" w:lineRule="exact"/>
        <w:rPr>
          <w:sz w:val="24"/>
          <w:szCs w:val="24"/>
          <w:color w:val="auto"/>
        </w:rPr>
      </w:pPr>
    </w:p>
    <w:p>
      <w:pPr>
        <w:ind w:left="1460" w:right="759"/>
        <w:spacing w:after="0" w:line="151"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2"/>
          <w:szCs w:val="12"/>
          <w:color w:val="auto"/>
        </w:rPr>
        <w:t>☐</w:t>
      </w:r>
    </w:p>
    <w:p>
      <w:pPr>
        <w:spacing w:after="0" w:line="131"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w:t>
      </w:r>
    </w:p>
    <w:p>
      <w:pPr>
        <w:spacing w:after="0" w:line="20"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2"/>
          <w:szCs w:val="12"/>
          <w:color w:val="auto"/>
        </w:rPr>
        <w:t>See the definitions of “large accelerated filer,” “accelerated filer,” “smaller reporting company” and “emerging growth company” in Rule 12b-2 of the Exchange Act.</w:t>
      </w:r>
    </w:p>
    <w:p>
      <w:pPr>
        <w:spacing w:after="0" w:line="142" w:lineRule="exact"/>
        <w:rPr>
          <w:sz w:val="24"/>
          <w:szCs w:val="24"/>
          <w:color w:val="auto"/>
        </w:rPr>
      </w:pPr>
    </w:p>
    <w:tbl>
      <w:tblPr>
        <w:tblLayout w:type="fixed"/>
        <w:tblInd w:w="1460" w:type="dxa"/>
        <w:tblCellMar>
          <w:top w:w="0" w:type="dxa"/>
          <w:left w:w="0" w:type="dxa"/>
          <w:bottom w:w="0" w:type="dxa"/>
          <w:right w:w="0" w:type="dxa"/>
        </w:tblCellMar>
      </w:tblPr>
      <w:tr>
        <w:trPr>
          <w:trHeight w:val="194"/>
        </w:trPr>
        <w:tc>
          <w:tcPr>
            <w:tcW w:w="128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760" w:type="dxa"/>
            <w:vAlign w:val="bottom"/>
          </w:tcPr>
          <w:p>
            <w:pPr>
              <w:ind w:left="240"/>
              <w:spacing w:after="0" w:line="121" w:lineRule="exact"/>
              <w:rPr>
                <w:sz w:val="20"/>
                <w:szCs w:val="20"/>
                <w:color w:val="auto"/>
              </w:rPr>
            </w:pPr>
            <w:r>
              <w:rPr>
                <w:rFonts w:ascii="MS PGothic" w:cs="MS PGothic" w:eastAsia="MS PGothic" w:hAnsi="MS PGothic"/>
                <w:sz w:val="12"/>
                <w:szCs w:val="12"/>
                <w:color w:val="auto"/>
              </w:rPr>
              <w:t>☐</w:t>
            </w:r>
          </w:p>
        </w:tc>
        <w:tc>
          <w:tcPr>
            <w:tcW w:w="3920" w:type="dxa"/>
            <w:vAlign w:val="bottom"/>
          </w:tcPr>
          <w:p>
            <w:pPr>
              <w:ind w:left="2420"/>
              <w:spacing w:after="0"/>
              <w:rPr>
                <w:sz w:val="20"/>
                <w:szCs w:val="20"/>
                <w:color w:val="auto"/>
              </w:rPr>
            </w:pPr>
            <w:r>
              <w:rPr>
                <w:rFonts w:ascii="Times New Roman" w:cs="Times New Roman" w:eastAsia="Times New Roman" w:hAnsi="Times New Roman"/>
                <w:sz w:val="12"/>
                <w:szCs w:val="12"/>
                <w:color w:val="auto"/>
              </w:rPr>
              <w:t>Accelerated filer</w:t>
            </w:r>
          </w:p>
        </w:tc>
        <w:tc>
          <w:tcPr>
            <w:tcW w:w="340" w:type="dxa"/>
            <w:vAlign w:val="bottom"/>
          </w:tcPr>
          <w:p>
            <w:pPr>
              <w:ind w:left="2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26"/>
        </w:trPr>
        <w:tc>
          <w:tcPr>
            <w:tcW w:w="128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760" w:type="dxa"/>
            <w:vAlign w:val="bottom"/>
          </w:tcPr>
          <w:p>
            <w:pPr>
              <w:ind w:left="240"/>
              <w:spacing w:after="0" w:line="121" w:lineRule="exact"/>
              <w:rPr>
                <w:sz w:val="20"/>
                <w:szCs w:val="20"/>
                <w:color w:val="auto"/>
              </w:rPr>
            </w:pPr>
            <w:r>
              <w:rPr>
                <w:rFonts w:ascii="MS PGothic" w:cs="MS PGothic" w:eastAsia="MS PGothic" w:hAnsi="MS PGothic"/>
                <w:sz w:val="12"/>
                <w:szCs w:val="12"/>
                <w:color w:val="auto"/>
              </w:rPr>
              <w:t>☒</w:t>
            </w:r>
          </w:p>
        </w:tc>
        <w:tc>
          <w:tcPr>
            <w:tcW w:w="3920" w:type="dxa"/>
            <w:vAlign w:val="bottom"/>
          </w:tcPr>
          <w:p>
            <w:pPr>
              <w:ind w:left="242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340" w:type="dxa"/>
            <w:vAlign w:val="bottom"/>
          </w:tcPr>
          <w:p>
            <w:pPr>
              <w:ind w:left="2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26"/>
        </w:trPr>
        <w:tc>
          <w:tcPr>
            <w:tcW w:w="12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920" w:type="dxa"/>
            <w:vAlign w:val="bottom"/>
          </w:tcPr>
          <w:p>
            <w:pPr>
              <w:ind w:left="2420"/>
              <w:spacing w:after="0"/>
              <w:rPr>
                <w:sz w:val="20"/>
                <w:szCs w:val="20"/>
                <w:color w:val="auto"/>
              </w:rPr>
            </w:pPr>
            <w:r>
              <w:rPr>
                <w:rFonts w:ascii="Times New Roman" w:cs="Times New Roman" w:eastAsia="Times New Roman" w:hAnsi="Times New Roman"/>
                <w:sz w:val="12"/>
                <w:szCs w:val="12"/>
                <w:color w:val="auto"/>
              </w:rPr>
              <w:t>Emerging growth company</w:t>
            </w:r>
          </w:p>
        </w:tc>
        <w:tc>
          <w:tcPr>
            <w:tcW w:w="340" w:type="dxa"/>
            <w:vAlign w:val="bottom"/>
          </w:tcPr>
          <w:p>
            <w:pPr>
              <w:ind w:left="24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130" w:lineRule="exact"/>
        <w:rPr>
          <w:sz w:val="24"/>
          <w:szCs w:val="24"/>
          <w:color w:val="auto"/>
        </w:rPr>
      </w:pPr>
    </w:p>
    <w:p>
      <w:pPr>
        <w:ind w:left="1460" w:right="619"/>
        <w:spacing w:after="0" w:line="151"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3023870</wp:posOffset>
            </wp:positionH>
            <wp:positionV relativeFrom="paragraph">
              <wp:posOffset>163195</wp:posOffset>
            </wp:positionV>
            <wp:extent cx="112014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396" w:lineRule="exact"/>
        <w:rPr>
          <w:sz w:val="24"/>
          <w:szCs w:val="24"/>
          <w:color w:val="auto"/>
        </w:rPr>
      </w:pPr>
    </w:p>
    <w:p>
      <w:pPr>
        <w:ind w:left="1460" w:right="539"/>
        <w:spacing w:after="0" w:line="295" w:lineRule="auto"/>
        <w:rPr>
          <w:sz w:val="20"/>
          <w:szCs w:val="20"/>
          <w:color w:val="auto"/>
        </w:rPr>
      </w:pPr>
      <w:r>
        <w:rPr>
          <w:rFonts w:ascii="Times New Roman" w:cs="Times New Roman" w:eastAsia="Times New Roman" w:hAnsi="Times New Roman"/>
          <w:sz w:val="10"/>
          <w:szCs w:val="10"/>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926465</wp:posOffset>
            </wp:positionH>
            <wp:positionV relativeFrom="paragraph">
              <wp:posOffset>20320</wp:posOffset>
            </wp:positionV>
            <wp:extent cx="531558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15585" cy="6350"/>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52705</wp:posOffset>
            </wp:positionV>
            <wp:extent cx="531558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15585" cy="6350"/>
                    </a:xfrm>
                    <a:prstGeom prst="rect">
                      <a:avLst/>
                    </a:prstGeom>
                    <a:noFill/>
                  </pic:spPr>
                </pic:pic>
              </a:graphicData>
            </a:graphic>
          </wp:anchor>
        </w:drawing>
      </w:r>
    </w:p>
    <w:p>
      <w:pPr>
        <w:sectPr>
          <w:pgSz w:w="11900" w:h="16838" w:orient="portrait"/>
          <w:cols w:equalWidth="0" w:num="1">
            <w:col w:w="10159"/>
          </w:cols>
          <w:pgMar w:left="300" w:top="20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38" w:lineRule="exact"/>
        <w:rPr>
          <w:sz w:val="20"/>
          <w:szCs w:val="20"/>
          <w:color w:val="auto"/>
        </w:rPr>
      </w:pPr>
    </w:p>
    <w:tbl>
      <w:tblPr>
        <w:tblLayout w:type="fixed"/>
        <w:tblInd w:w="1460" w:type="dxa"/>
        <w:tblCellMar>
          <w:top w:w="0" w:type="dxa"/>
          <w:left w:w="0" w:type="dxa"/>
          <w:bottom w:w="0" w:type="dxa"/>
          <w:right w:w="0" w:type="dxa"/>
        </w:tblCellMar>
      </w:tblPr>
      <w:tr>
        <w:trPr>
          <w:trHeight w:val="2230"/>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7"/>
              </w:rPr>
              <w:t>sold until the registration statement</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7"/>
              </w:rPr>
              <w:t>these securities and is not soliciting an</w:t>
            </w:r>
          </w:p>
        </w:tc>
        <w:tc>
          <w:tcPr>
            <w:tcW w:w="160" w:type="dxa"/>
            <w:vAlign w:val="bottom"/>
          </w:tcPr>
          <w:p>
            <w:pPr>
              <w:spacing w:after="0"/>
              <w:rPr>
                <w:sz w:val="24"/>
                <w:szCs w:val="24"/>
                <w:color w:val="auto"/>
              </w:rPr>
            </w:pPr>
          </w:p>
        </w:tc>
      </w:tr>
      <w:tr>
        <w:trPr>
          <w:trHeight w:val="395"/>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7"/>
              </w:rPr>
              <w:t>not be</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8"/>
              </w:rPr>
              <w:t>to sell</w:t>
            </w:r>
          </w:p>
        </w:tc>
        <w:tc>
          <w:tcPr>
            <w:tcW w:w="160" w:type="dxa"/>
            <w:vAlign w:val="bottom"/>
          </w:tcPr>
          <w:p>
            <w:pPr>
              <w:spacing w:after="0"/>
              <w:rPr>
                <w:sz w:val="24"/>
                <w:szCs w:val="24"/>
                <w:color w:val="auto"/>
              </w:rPr>
            </w:pPr>
          </w:p>
        </w:tc>
      </w:tr>
      <w:tr>
        <w:trPr>
          <w:trHeight w:val="3074"/>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7"/>
              </w:rPr>
              <w:t>complete and may be changed. These securities may</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7"/>
              </w:rPr>
              <w:t>effective. This preliminary prospectus is not an offer</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7"/>
              </w:rPr>
              <w:t>the offer or sale is not permitted.</w:t>
            </w:r>
          </w:p>
        </w:tc>
      </w:tr>
      <w:tr>
        <w:trPr>
          <w:trHeight w:val="3123"/>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7"/>
              </w:rPr>
              <w:t>The information in this preliminary prospectus is not</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7"/>
              </w:rPr>
              <w:t>filed with the Securities and Exchange Commission is</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7"/>
              </w:rPr>
              <w:t>offer to buy these securities in any jurisdiction where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FF4338"/>
        </w:rPr>
        <w:t>SUBJECT TO COMPLETION, DATED 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-1356995</wp:posOffset>
            </wp:positionH>
            <wp:positionV relativeFrom="paragraph">
              <wp:posOffset>-579755</wp:posOffset>
            </wp:positionV>
            <wp:extent cx="7203440"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1781810</wp:posOffset>
            </wp:positionH>
            <wp:positionV relativeFrom="paragraph">
              <wp:posOffset>71120</wp:posOffset>
            </wp:positionV>
            <wp:extent cx="911860" cy="215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11860" cy="21526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22"/>
          <w:szCs w:val="22"/>
          <w:b w:val="1"/>
          <w:bCs w:val="1"/>
          <w:color w:val="auto"/>
        </w:rPr>
        <w:t>$300,000,000</w:t>
      </w:r>
    </w:p>
    <w:p>
      <w:pPr>
        <w:spacing w:after="0" w:line="93"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31"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7"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7"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7"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113030</wp:posOffset>
            </wp:positionV>
            <wp:extent cx="93789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7895" cy="6350"/>
                    </a:xfrm>
                    <a:prstGeom prst="rect">
                      <a:avLst/>
                    </a:prstGeom>
                    <a:noFill/>
                  </pic:spPr>
                </pic:pic>
              </a:graphicData>
            </a:graphic>
          </wp:anchor>
        </w:drawing>
      </w:r>
    </w:p>
    <w:p>
      <w:pPr>
        <w:spacing w:after="0" w:line="237" w:lineRule="exact"/>
        <w:rPr>
          <w:sz w:val="20"/>
          <w:szCs w:val="20"/>
          <w:color w:val="auto"/>
        </w:rPr>
      </w:pPr>
    </w:p>
    <w:p>
      <w:pPr>
        <w:ind w:right="1039" w:firstLine="282"/>
        <w:spacing w:after="0" w:line="252" w:lineRule="auto"/>
        <w:rPr>
          <w:sz w:val="20"/>
          <w:szCs w:val="20"/>
          <w:color w:val="auto"/>
        </w:rPr>
      </w:pPr>
      <w:r>
        <w:rPr>
          <w:rFonts w:ascii="Times New Roman" w:cs="Times New Roman" w:eastAsia="Times New Roman" w:hAnsi="Times New Roman"/>
          <w:sz w:val="14"/>
          <w:szCs w:val="14"/>
          <w:color w:val="auto"/>
        </w:rPr>
        <w:t>We may offer from time to time, in one or more offerings, any combination of up to $300,000,000 in the aggregate principal amount of the following securities: common stock, preferred stock, debt securities, warrants, and units, or collectively, the securities. We may offer and sell these securities at times, in amounts, at prices and on terms to be determined at or prior to the time of each offering.</w:t>
      </w:r>
    </w:p>
    <w:p>
      <w:pPr>
        <w:spacing w:after="0" w:line="62" w:lineRule="exact"/>
        <w:rPr>
          <w:sz w:val="20"/>
          <w:szCs w:val="20"/>
          <w:color w:val="auto"/>
        </w:rPr>
      </w:pPr>
    </w:p>
    <w:p>
      <w:pPr>
        <w:ind w:right="1019" w:firstLine="282"/>
        <w:spacing w:after="0" w:line="271" w:lineRule="auto"/>
        <w:rPr>
          <w:sz w:val="20"/>
          <w:szCs w:val="20"/>
          <w:color w:val="auto"/>
        </w:rPr>
      </w:pPr>
      <w:r>
        <w:rPr>
          <w:rFonts w:ascii="Times New Roman" w:cs="Times New Roman" w:eastAsia="Times New Roman" w:hAnsi="Times New Roman"/>
          <w:sz w:val="13"/>
          <w:szCs w:val="13"/>
          <w:color w:val="auto"/>
        </w:rPr>
        <w:t>This prospectus describes some of the general terms that may apply to these securities. The specific terms of these securities and information regarding the offering in which these securities will be offered will be provided in supplements to this prospectus. We may also authorize one or more free writing prospectuses to be provided to you in connection with each offering of the securities. The prospectus supplements may add, update or change the information contained in this prospectus. You should read this prospectus and any applicable prospectus supplement and any applicable free writing prospectus together with additional information described under the heading “Where You Can Find More Information” carefully before you invest.</w:t>
      </w:r>
    </w:p>
    <w:p>
      <w:pPr>
        <w:spacing w:after="0" w:line="54" w:lineRule="exact"/>
        <w:rPr>
          <w:sz w:val="20"/>
          <w:szCs w:val="20"/>
          <w:color w:val="auto"/>
        </w:rPr>
      </w:pPr>
    </w:p>
    <w:p>
      <w:pPr>
        <w:ind w:right="1079" w:firstLine="282"/>
        <w:spacing w:after="0" w:line="248" w:lineRule="auto"/>
        <w:rPr>
          <w:sz w:val="20"/>
          <w:szCs w:val="20"/>
          <w:color w:val="auto"/>
        </w:rPr>
      </w:pPr>
      <w:r>
        <w:rPr>
          <w:rFonts w:ascii="Times New Roman" w:cs="Times New Roman" w:eastAsia="Times New Roman" w:hAnsi="Times New Roman"/>
          <w:sz w:val="14"/>
          <w:szCs w:val="14"/>
          <w:color w:val="auto"/>
        </w:rPr>
        <w:t>We may offer and sell these securities to or through one or more underwriters, dealers or agents, or directly to one or more purchasers, on a continuous or delayed basis, on or off the Nasdaq Capital Market, or Nasdaq.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“Plan of Distribution” section of this prospectus for more information. No securities may be sold without delivery of this prospectus and the applicable prospectus supplement describing the method and terms of the offering of such securities.</w:t>
      </w:r>
    </w:p>
    <w:p>
      <w:pPr>
        <w:spacing w:after="0" w:line="67" w:lineRule="exact"/>
        <w:rPr>
          <w:sz w:val="20"/>
          <w:szCs w:val="20"/>
          <w:color w:val="auto"/>
        </w:rPr>
      </w:pPr>
    </w:p>
    <w:p>
      <w:pPr>
        <w:ind w:right="1059" w:firstLine="282"/>
        <w:spacing w:after="0" w:line="252" w:lineRule="auto"/>
        <w:rPr>
          <w:sz w:val="20"/>
          <w:szCs w:val="20"/>
          <w:color w:val="auto"/>
        </w:rPr>
      </w:pPr>
      <w:r>
        <w:rPr>
          <w:rFonts w:ascii="Times New Roman" w:cs="Times New Roman" w:eastAsia="Times New Roman" w:hAnsi="Times New Roman"/>
          <w:sz w:val="14"/>
          <w:szCs w:val="14"/>
          <w:color w:val="auto"/>
        </w:rPr>
        <w:t>Our common stock, par value $0.0001 per share, or the common stock, is listed on Nasdaq under the symbol “QTTB.” On June 24, 2026, the closing price for our common stock, as reported on Nasdaq, was $11.16 per share. The applicable prospectus supplement will contain information, where applicable, as to any other listing, if any, on Nasdaq or any securities market or other exchange of the securities covered by the applicable prospectus supplement.</w:t>
      </w:r>
    </w:p>
    <w:p>
      <w:pPr>
        <w:spacing w:after="0" w:line="62" w:lineRule="exact"/>
        <w:rPr>
          <w:sz w:val="20"/>
          <w:szCs w:val="20"/>
          <w:color w:val="auto"/>
        </w:rPr>
      </w:pPr>
    </w:p>
    <w:p>
      <w:pPr>
        <w:ind w:right="999" w:firstLine="282"/>
        <w:spacing w:after="0" w:line="255" w:lineRule="auto"/>
        <w:rPr>
          <w:sz w:val="20"/>
          <w:szCs w:val="20"/>
          <w:color w:val="auto"/>
        </w:rPr>
      </w:pPr>
      <w:r>
        <w:rPr>
          <w:rFonts w:ascii="Times New Roman" w:cs="Times New Roman" w:eastAsia="Times New Roman" w:hAnsi="Times New Roman"/>
          <w:sz w:val="14"/>
          <w:szCs w:val="14"/>
          <w:color w:val="auto"/>
        </w:rPr>
        <w:t>As of the date of this prospectus, we are a smaller reporting company as defined under Rule 405 of the Securities Act of 1933, as amended, or the Securities Act, and, as such, are subject to certain reduced public company reporting requirements. See “Prospectus Summary—Implications of Being a Smaller Reporting Company” on page 6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105410</wp:posOffset>
            </wp:positionV>
            <wp:extent cx="93789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7895" cy="6350"/>
                    </a:xfrm>
                    <a:prstGeom prst="rect">
                      <a:avLst/>
                    </a:prstGeom>
                    <a:noFill/>
                  </pic:spPr>
                </pic:pic>
              </a:graphicData>
            </a:graphic>
          </wp:anchor>
        </w:drawing>
      </w:r>
    </w:p>
    <w:p>
      <w:pPr>
        <w:spacing w:after="0" w:line="214" w:lineRule="exact"/>
        <w:rPr>
          <w:sz w:val="20"/>
          <w:szCs w:val="20"/>
          <w:color w:val="auto"/>
        </w:rPr>
      </w:pPr>
    </w:p>
    <w:p>
      <w:pPr>
        <w:ind w:right="999" w:firstLine="282"/>
        <w:spacing w:after="0" w:line="252" w:lineRule="auto"/>
        <w:rPr>
          <w:sz w:val="20"/>
          <w:szCs w:val="20"/>
          <w:color w:val="auto"/>
        </w:rPr>
      </w:pPr>
      <w:r>
        <w:rPr>
          <w:rFonts w:ascii="Times New Roman" w:cs="Times New Roman" w:eastAsia="Times New Roman" w:hAnsi="Times New Roman"/>
          <w:sz w:val="16"/>
          <w:szCs w:val="16"/>
          <w:b w:val="1"/>
          <w:bCs w:val="1"/>
          <w:color w:val="auto"/>
        </w:rPr>
        <w:t>Investing in our securities involves certain risks. See the section entitled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beginning on page 8 of this prospectus, in any applicable prospectus supplement and any related free writing prospectus, and in our Securities and Exchange Commission, or the SEC, filings that are incorporated by reference herein. You should read the entire prospectus carefully before you make your investment decision.</w:t>
      </w:r>
    </w:p>
    <w:p>
      <w:pPr>
        <w:spacing w:after="0" w:line="47" w:lineRule="exact"/>
        <w:rPr>
          <w:sz w:val="20"/>
          <w:szCs w:val="20"/>
          <w:color w:val="auto"/>
        </w:rPr>
      </w:pPr>
    </w:p>
    <w:p>
      <w:pPr>
        <w:ind w:right="1059" w:firstLine="282"/>
        <w:spacing w:after="0" w:line="272"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104775</wp:posOffset>
            </wp:positionV>
            <wp:extent cx="93789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7895" cy="6350"/>
                    </a:xfrm>
                    <a:prstGeom prst="rect">
                      <a:avLst/>
                    </a:prstGeom>
                    <a:noFill/>
                  </pic:spPr>
                </pic:pic>
              </a:graphicData>
            </a:graphic>
          </wp:anchor>
        </w:drawing>
      </w:r>
    </w:p>
    <w:p>
      <w:pPr>
        <w:spacing w:after="0" w:line="22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p>
      <w:pPr>
        <w:sectPr>
          <w:pgSz w:w="11900" w:h="16838" w:orient="portrait"/>
          <w:cols w:equalWidth="0" w:num="2">
            <w:col w:w="1920" w:space="200"/>
            <w:col w:w="8039"/>
          </w:cols>
          <w:pgMar w:left="300" w:top="379"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5" w:lineRule="exact"/>
        <w:rPr>
          <w:sz w:val="20"/>
          <w:szCs w:val="20"/>
          <w:color w:val="auto"/>
        </w:rPr>
      </w:pPr>
    </w:p>
    <w:tbl>
      <w:tblPr>
        <w:tblLayout w:type="fixed"/>
        <w:tblInd w:w="1460" w:type="dxa"/>
        <w:tblCellMar>
          <w:top w:w="0" w:type="dxa"/>
          <w:left w:w="0" w:type="dxa"/>
          <w:bottom w:w="0" w:type="dxa"/>
          <w:right w:w="0" w:type="dxa"/>
        </w:tblCellMar>
      </w:tblPr>
      <w:tr>
        <w:trPr>
          <w:trHeight w:val="143"/>
        </w:trPr>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04"/>
        </w:trPr>
        <w:tc>
          <w:tcPr>
            <w:tcW w:w="17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w w:val="96"/>
              </w:rPr>
              <w:t>ABOUT THIS PROSPECTUS</w:t>
            </w:r>
          </w:p>
        </w:tc>
        <w:tc>
          <w:tcPr>
            <w:tcW w:w="4540" w:type="dxa"/>
            <w:vAlign w:val="bottom"/>
            <w:gridSpan w:val="8"/>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44"/>
        </w:trPr>
        <w:tc>
          <w:tcPr>
            <w:tcW w:w="4400" w:type="dxa"/>
            <w:vAlign w:val="bottom"/>
            <w:tcBorders>
              <w:bottom w:val="single" w:sz="8" w:color="0000EE"/>
            </w:tcBorders>
            <w:gridSpan w:val="15"/>
          </w:tcPr>
          <w:p>
            <w:pPr>
              <w:spacing w:after="0" w:line="144" w:lineRule="exact"/>
              <w:rPr>
                <w:sz w:val="20"/>
                <w:szCs w:val="20"/>
                <w:color w:val="auto"/>
              </w:rPr>
            </w:pPr>
            <w:r>
              <w:rPr>
                <w:rFonts w:ascii="Times New Roman" w:cs="Times New Roman" w:eastAsia="Times New Roman" w:hAnsi="Times New Roman"/>
                <w:sz w:val="14"/>
                <w:szCs w:val="14"/>
                <w:color w:val="0000EE"/>
                <w:w w:val="96"/>
              </w:rPr>
              <w:t>CAUTIONARY NOTE REGARDING FORWARD-LOOKING STATEMENTS</w:t>
            </w:r>
          </w:p>
        </w:tc>
        <w:tc>
          <w:tcPr>
            <w:tcW w:w="1840" w:type="dxa"/>
            <w:vAlign w:val="bottom"/>
          </w:tcPr>
          <w:p>
            <w:pPr>
              <w:spacing w:after="0"/>
              <w:rPr>
                <w:sz w:val="12"/>
                <w:szCs w:val="12"/>
                <w:color w:val="auto"/>
              </w:rPr>
            </w:pPr>
          </w:p>
        </w:tc>
        <w:tc>
          <w:tcPr>
            <w:tcW w:w="20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3</w:t>
            </w:r>
          </w:p>
        </w:tc>
      </w:tr>
      <w:tr>
        <w:trPr>
          <w:trHeight w:val="144"/>
        </w:trPr>
        <w:tc>
          <w:tcPr>
            <w:tcW w:w="6240" w:type="dxa"/>
            <w:vAlign w:val="bottom"/>
            <w:gridSpan w:val="16"/>
          </w:tcPr>
          <w:p>
            <w:pPr>
              <w:spacing w:after="0" w:line="144" w:lineRule="exact"/>
              <w:rPr>
                <w:sz w:val="20"/>
                <w:szCs w:val="20"/>
                <w:color w:val="auto"/>
              </w:rPr>
            </w:pPr>
            <w:r>
              <w:rPr>
                <w:rFonts w:ascii="Times New Roman" w:cs="Times New Roman" w:eastAsia="Times New Roman" w:hAnsi="Times New Roman"/>
                <w:sz w:val="14"/>
                <w:szCs w:val="14"/>
                <w:color w:val="0000EE"/>
              </w:rPr>
              <w:t>PROSPECTUS SUMMARY</w:t>
            </w:r>
          </w:p>
        </w:tc>
        <w:tc>
          <w:tcPr>
            <w:tcW w:w="20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5</w:t>
            </w:r>
          </w:p>
        </w:tc>
      </w:tr>
      <w:tr>
        <w:trPr>
          <w:trHeight w:val="20"/>
        </w:trPr>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44"/>
        </w:trPr>
        <w:tc>
          <w:tcPr>
            <w:tcW w:w="6240" w:type="dxa"/>
            <w:vAlign w:val="bottom"/>
            <w:gridSpan w:val="16"/>
          </w:tcPr>
          <w:p>
            <w:pPr>
              <w:spacing w:after="0" w:line="144" w:lineRule="exact"/>
              <w:rPr>
                <w:sz w:val="20"/>
                <w:szCs w:val="20"/>
                <w:color w:val="auto"/>
              </w:rPr>
            </w:pPr>
            <w:r>
              <w:rPr>
                <w:rFonts w:ascii="Times New Roman" w:cs="Times New Roman" w:eastAsia="Times New Roman" w:hAnsi="Times New Roman"/>
                <w:sz w:val="14"/>
                <w:szCs w:val="14"/>
                <w:color w:val="0000EE"/>
              </w:rPr>
              <w:t>SECURITIES WE MAY OFFER</w:t>
            </w:r>
          </w:p>
        </w:tc>
        <w:tc>
          <w:tcPr>
            <w:tcW w:w="20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7</w:t>
            </w:r>
          </w:p>
        </w:tc>
      </w:tr>
      <w:tr>
        <w:trPr>
          <w:trHeight w:val="144"/>
        </w:trPr>
        <w:tc>
          <w:tcPr>
            <w:tcW w:w="1820" w:type="dxa"/>
            <w:vAlign w:val="bottom"/>
            <w:tcBorders>
              <w:top w:val="single" w:sz="8" w:color="0000EE"/>
            </w:tcBorders>
            <w:gridSpan w:val="9"/>
          </w:tcPr>
          <w:p>
            <w:pPr>
              <w:spacing w:after="0" w:line="144" w:lineRule="exact"/>
              <w:rPr>
                <w:sz w:val="20"/>
                <w:szCs w:val="20"/>
                <w:color w:val="auto"/>
              </w:rPr>
            </w:pPr>
            <w:r>
              <w:rPr>
                <w:rFonts w:ascii="Times New Roman" w:cs="Times New Roman" w:eastAsia="Times New Roman" w:hAnsi="Times New Roman"/>
                <w:sz w:val="14"/>
                <w:szCs w:val="14"/>
                <w:color w:val="0000EE"/>
              </w:rPr>
              <w:t>RISK FACTORS</w:t>
            </w:r>
          </w:p>
        </w:tc>
        <w:tc>
          <w:tcPr>
            <w:tcW w:w="4420" w:type="dxa"/>
            <w:vAlign w:val="bottom"/>
            <w:gridSpan w:val="7"/>
          </w:tcPr>
          <w:p>
            <w:pPr>
              <w:spacing w:after="0"/>
              <w:rPr>
                <w:sz w:val="12"/>
                <w:szCs w:val="12"/>
                <w:color w:val="auto"/>
              </w:rPr>
            </w:pPr>
          </w:p>
        </w:tc>
        <w:tc>
          <w:tcPr>
            <w:tcW w:w="20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8</w:t>
            </w:r>
          </w:p>
        </w:tc>
      </w:tr>
      <w:tr>
        <w:trPr>
          <w:trHeight w:val="20"/>
        </w:trPr>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44"/>
        </w:trPr>
        <w:tc>
          <w:tcPr>
            <w:tcW w:w="1200" w:type="dxa"/>
            <w:vAlign w:val="bottom"/>
            <w:tcBorders>
              <w:bottom w:val="single" w:sz="8" w:color="0000EE"/>
            </w:tcBorders>
            <w:gridSpan w:val="5"/>
          </w:tcPr>
          <w:p>
            <w:pPr>
              <w:spacing w:after="0" w:line="144" w:lineRule="exact"/>
              <w:rPr>
                <w:sz w:val="20"/>
                <w:szCs w:val="20"/>
                <w:color w:val="auto"/>
              </w:rPr>
            </w:pPr>
            <w:r>
              <w:rPr>
                <w:rFonts w:ascii="Times New Roman" w:cs="Times New Roman" w:eastAsia="Times New Roman" w:hAnsi="Times New Roman"/>
                <w:sz w:val="14"/>
                <w:szCs w:val="14"/>
                <w:color w:val="0000EE"/>
                <w:w w:val="95"/>
              </w:rPr>
              <w:t>USE OF PROCEEDS</w:t>
            </w:r>
          </w:p>
        </w:tc>
        <w:tc>
          <w:tcPr>
            <w:tcW w:w="5040" w:type="dxa"/>
            <w:vAlign w:val="bottom"/>
            <w:gridSpan w:val="11"/>
          </w:tcPr>
          <w:p>
            <w:pPr>
              <w:spacing w:after="0"/>
              <w:rPr>
                <w:sz w:val="12"/>
                <w:szCs w:val="12"/>
                <w:color w:val="auto"/>
              </w:rPr>
            </w:pPr>
          </w:p>
        </w:tc>
        <w:tc>
          <w:tcPr>
            <w:tcW w:w="20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9</w:t>
            </w:r>
          </w:p>
        </w:tc>
      </w:tr>
      <w:tr>
        <w:trPr>
          <w:trHeight w:val="144"/>
        </w:trPr>
        <w:tc>
          <w:tcPr>
            <w:tcW w:w="2180" w:type="dxa"/>
            <w:vAlign w:val="bottom"/>
            <w:tcBorders>
              <w:bottom w:val="single" w:sz="8" w:color="0000EE"/>
            </w:tcBorders>
            <w:gridSpan w:val="12"/>
          </w:tcPr>
          <w:p>
            <w:pPr>
              <w:spacing w:after="0" w:line="144" w:lineRule="exact"/>
              <w:rPr>
                <w:sz w:val="20"/>
                <w:szCs w:val="20"/>
                <w:color w:val="auto"/>
              </w:rPr>
            </w:pPr>
            <w:r>
              <w:rPr>
                <w:rFonts w:ascii="Times New Roman" w:cs="Times New Roman" w:eastAsia="Times New Roman" w:hAnsi="Times New Roman"/>
                <w:sz w:val="14"/>
                <w:szCs w:val="14"/>
                <w:color w:val="0000EE"/>
                <w:w w:val="96"/>
              </w:rPr>
              <w:t>DESCRIPTION OF CAPITAL STOCK</w:t>
            </w:r>
          </w:p>
        </w:tc>
        <w:tc>
          <w:tcPr>
            <w:tcW w:w="4060" w:type="dxa"/>
            <w:vAlign w:val="bottom"/>
            <w:gridSpan w:val="4"/>
          </w:tcPr>
          <w:p>
            <w:pPr>
              <w:spacing w:after="0"/>
              <w:rPr>
                <w:sz w:val="12"/>
                <w:szCs w:val="12"/>
                <w:color w:val="auto"/>
              </w:rPr>
            </w:pPr>
          </w:p>
        </w:tc>
        <w:tc>
          <w:tcPr>
            <w:tcW w:w="20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10</w:t>
            </w:r>
          </w:p>
        </w:tc>
      </w:tr>
      <w:tr>
        <w:trPr>
          <w:trHeight w:val="144"/>
        </w:trPr>
        <w:tc>
          <w:tcPr>
            <w:tcW w:w="2300" w:type="dxa"/>
            <w:vAlign w:val="bottom"/>
            <w:tcBorders>
              <w:bottom w:val="single" w:sz="8" w:color="0000EE"/>
            </w:tcBorders>
            <w:gridSpan w:val="13"/>
          </w:tcPr>
          <w:p>
            <w:pPr>
              <w:spacing w:after="0" w:line="144" w:lineRule="exact"/>
              <w:rPr>
                <w:sz w:val="20"/>
                <w:szCs w:val="20"/>
                <w:color w:val="auto"/>
              </w:rPr>
            </w:pPr>
            <w:r>
              <w:rPr>
                <w:rFonts w:ascii="Times New Roman" w:cs="Times New Roman" w:eastAsia="Times New Roman" w:hAnsi="Times New Roman"/>
                <w:sz w:val="14"/>
                <w:szCs w:val="14"/>
                <w:color w:val="0000EE"/>
                <w:w w:val="96"/>
              </w:rPr>
              <w:t>DESCRIPTION OF DEBT SECURITIES</w:t>
            </w:r>
          </w:p>
        </w:tc>
        <w:tc>
          <w:tcPr>
            <w:tcW w:w="3940" w:type="dxa"/>
            <w:vAlign w:val="bottom"/>
            <w:gridSpan w:val="3"/>
          </w:tcPr>
          <w:p>
            <w:pPr>
              <w:spacing w:after="0"/>
              <w:rPr>
                <w:sz w:val="12"/>
                <w:szCs w:val="12"/>
                <w:color w:val="auto"/>
              </w:rPr>
            </w:pPr>
          </w:p>
        </w:tc>
        <w:tc>
          <w:tcPr>
            <w:tcW w:w="20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15</w:t>
            </w:r>
          </w:p>
        </w:tc>
      </w:tr>
      <w:tr>
        <w:trPr>
          <w:trHeight w:val="144"/>
        </w:trPr>
        <w:tc>
          <w:tcPr>
            <w:tcW w:w="6240" w:type="dxa"/>
            <w:vAlign w:val="bottom"/>
            <w:gridSpan w:val="16"/>
          </w:tcPr>
          <w:p>
            <w:pPr>
              <w:spacing w:after="0" w:line="144" w:lineRule="exact"/>
              <w:rPr>
                <w:sz w:val="20"/>
                <w:szCs w:val="20"/>
                <w:color w:val="auto"/>
              </w:rPr>
            </w:pPr>
            <w:r>
              <w:rPr>
                <w:rFonts w:ascii="Times New Roman" w:cs="Times New Roman" w:eastAsia="Times New Roman" w:hAnsi="Times New Roman"/>
                <w:sz w:val="14"/>
                <w:szCs w:val="14"/>
                <w:color w:val="0000EE"/>
              </w:rPr>
              <w:t>DESCRIPTION OF WARRANTS</w:t>
            </w:r>
          </w:p>
        </w:tc>
        <w:tc>
          <w:tcPr>
            <w:tcW w:w="20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17</w:t>
            </w:r>
          </w:p>
        </w:tc>
      </w:tr>
      <w:tr>
        <w:trPr>
          <w:trHeight w:val="144"/>
        </w:trPr>
        <w:tc>
          <w:tcPr>
            <w:tcW w:w="1540" w:type="dxa"/>
            <w:vAlign w:val="bottom"/>
            <w:tcBorders>
              <w:top w:val="single" w:sz="8" w:color="0000EE"/>
              <w:bottom w:val="single" w:sz="8" w:color="0000EE"/>
            </w:tcBorders>
            <w:gridSpan w:val="6"/>
          </w:tcPr>
          <w:p>
            <w:pPr>
              <w:spacing w:after="0" w:line="144" w:lineRule="exact"/>
              <w:rPr>
                <w:sz w:val="20"/>
                <w:szCs w:val="20"/>
                <w:color w:val="auto"/>
              </w:rPr>
            </w:pPr>
            <w:r>
              <w:rPr>
                <w:rFonts w:ascii="Times New Roman" w:cs="Times New Roman" w:eastAsia="Times New Roman" w:hAnsi="Times New Roman"/>
                <w:sz w:val="14"/>
                <w:szCs w:val="14"/>
                <w:color w:val="0000EE"/>
                <w:w w:val="96"/>
              </w:rPr>
              <w:t>DESCRIPTION OF UNITS</w:t>
            </w:r>
          </w:p>
        </w:tc>
        <w:tc>
          <w:tcPr>
            <w:tcW w:w="340" w:type="dxa"/>
            <w:vAlign w:val="bottom"/>
            <w:tcBorders>
              <w:top w:val="single" w:sz="8" w:color="0000EE"/>
            </w:tcBorders>
            <w:gridSpan w:val="4"/>
          </w:tcPr>
          <w:p>
            <w:pPr>
              <w:spacing w:after="0"/>
              <w:rPr>
                <w:sz w:val="12"/>
                <w:szCs w:val="12"/>
                <w:color w:val="auto"/>
              </w:rPr>
            </w:pPr>
          </w:p>
        </w:tc>
        <w:tc>
          <w:tcPr>
            <w:tcW w:w="4360" w:type="dxa"/>
            <w:vAlign w:val="bottom"/>
            <w:gridSpan w:val="6"/>
          </w:tcPr>
          <w:p>
            <w:pPr>
              <w:spacing w:after="0"/>
              <w:rPr>
                <w:sz w:val="12"/>
                <w:szCs w:val="12"/>
                <w:color w:val="auto"/>
              </w:rPr>
            </w:pPr>
          </w:p>
        </w:tc>
        <w:tc>
          <w:tcPr>
            <w:tcW w:w="20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18</w:t>
            </w:r>
          </w:p>
        </w:tc>
      </w:tr>
      <w:tr>
        <w:trPr>
          <w:trHeight w:val="144"/>
        </w:trPr>
        <w:tc>
          <w:tcPr>
            <w:tcW w:w="680" w:type="dxa"/>
            <w:vAlign w:val="bottom"/>
            <w:tcBorders>
              <w:bottom w:val="single" w:sz="8" w:color="0000EE"/>
            </w:tcBorders>
            <w:gridSpan w:val="2"/>
          </w:tcPr>
          <w:p>
            <w:pPr>
              <w:spacing w:after="0" w:line="144" w:lineRule="exact"/>
              <w:rPr>
                <w:sz w:val="20"/>
                <w:szCs w:val="20"/>
                <w:color w:val="auto"/>
              </w:rPr>
            </w:pPr>
            <w:r>
              <w:rPr>
                <w:rFonts w:ascii="Times New Roman" w:cs="Times New Roman" w:eastAsia="Times New Roman" w:hAnsi="Times New Roman"/>
                <w:sz w:val="14"/>
                <w:szCs w:val="14"/>
                <w:color w:val="0000EE"/>
                <w:w w:val="91"/>
              </w:rPr>
              <w:t>TAXATION</w:t>
            </w:r>
          </w:p>
        </w:tc>
        <w:tc>
          <w:tcPr>
            <w:tcW w:w="5560" w:type="dxa"/>
            <w:vAlign w:val="bottom"/>
            <w:gridSpan w:val="14"/>
          </w:tcPr>
          <w:p>
            <w:pPr>
              <w:spacing w:after="0"/>
              <w:rPr>
                <w:sz w:val="12"/>
                <w:szCs w:val="12"/>
                <w:color w:val="auto"/>
              </w:rPr>
            </w:pPr>
          </w:p>
        </w:tc>
        <w:tc>
          <w:tcPr>
            <w:tcW w:w="20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19</w:t>
            </w:r>
          </w:p>
        </w:tc>
      </w:tr>
      <w:tr>
        <w:trPr>
          <w:trHeight w:val="144"/>
        </w:trPr>
        <w:tc>
          <w:tcPr>
            <w:tcW w:w="1580" w:type="dxa"/>
            <w:vAlign w:val="bottom"/>
            <w:tcBorders>
              <w:bottom w:val="single" w:sz="8" w:color="0000EE"/>
            </w:tcBorders>
            <w:gridSpan w:val="7"/>
          </w:tcPr>
          <w:p>
            <w:pPr>
              <w:spacing w:after="0" w:line="144" w:lineRule="exact"/>
              <w:rPr>
                <w:sz w:val="20"/>
                <w:szCs w:val="20"/>
                <w:color w:val="auto"/>
              </w:rPr>
            </w:pPr>
            <w:r>
              <w:rPr>
                <w:rFonts w:ascii="Times New Roman" w:cs="Times New Roman" w:eastAsia="Times New Roman" w:hAnsi="Times New Roman"/>
                <w:sz w:val="14"/>
                <w:szCs w:val="14"/>
                <w:color w:val="0000EE"/>
                <w:w w:val="96"/>
              </w:rPr>
              <w:t>PLAN OF DISTRIBUTION</w:t>
            </w:r>
          </w:p>
        </w:tc>
        <w:tc>
          <w:tcPr>
            <w:tcW w:w="4660" w:type="dxa"/>
            <w:vAlign w:val="bottom"/>
            <w:gridSpan w:val="9"/>
          </w:tcPr>
          <w:p>
            <w:pPr>
              <w:spacing w:after="0"/>
              <w:rPr>
                <w:sz w:val="12"/>
                <w:szCs w:val="12"/>
                <w:color w:val="auto"/>
              </w:rPr>
            </w:pPr>
          </w:p>
        </w:tc>
        <w:tc>
          <w:tcPr>
            <w:tcW w:w="20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20</w:t>
            </w:r>
          </w:p>
        </w:tc>
      </w:tr>
      <w:tr>
        <w:trPr>
          <w:trHeight w:val="144"/>
        </w:trPr>
        <w:tc>
          <w:tcPr>
            <w:tcW w:w="6240" w:type="dxa"/>
            <w:vAlign w:val="bottom"/>
            <w:gridSpan w:val="16"/>
          </w:tcPr>
          <w:p>
            <w:pPr>
              <w:spacing w:after="0" w:line="144" w:lineRule="exact"/>
              <w:rPr>
                <w:sz w:val="20"/>
                <w:szCs w:val="20"/>
                <w:color w:val="auto"/>
              </w:rPr>
            </w:pPr>
            <w:r>
              <w:rPr>
                <w:rFonts w:ascii="Times New Roman" w:cs="Times New Roman" w:eastAsia="Times New Roman" w:hAnsi="Times New Roman"/>
                <w:sz w:val="14"/>
                <w:szCs w:val="14"/>
                <w:color w:val="0000EE"/>
              </w:rPr>
              <w:t>LEGAL MATTERS</w:t>
            </w:r>
          </w:p>
        </w:tc>
        <w:tc>
          <w:tcPr>
            <w:tcW w:w="20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24</w:t>
            </w:r>
          </w:p>
        </w:tc>
      </w:tr>
      <w:tr>
        <w:trPr>
          <w:trHeight w:val="144"/>
        </w:trPr>
        <w:tc>
          <w:tcPr>
            <w:tcW w:w="1100" w:type="dxa"/>
            <w:vAlign w:val="bottom"/>
            <w:tcBorders>
              <w:top w:val="single" w:sz="8" w:color="0000EE"/>
            </w:tcBorders>
            <w:gridSpan w:val="4"/>
          </w:tcPr>
          <w:p>
            <w:pPr>
              <w:spacing w:after="0" w:line="144" w:lineRule="exact"/>
              <w:rPr>
                <w:sz w:val="20"/>
                <w:szCs w:val="20"/>
                <w:color w:val="auto"/>
              </w:rPr>
            </w:pPr>
            <w:r>
              <w:rPr>
                <w:rFonts w:ascii="Times New Roman" w:cs="Times New Roman" w:eastAsia="Times New Roman" w:hAnsi="Times New Roman"/>
                <w:sz w:val="14"/>
                <w:szCs w:val="14"/>
                <w:color w:val="0000EE"/>
              </w:rPr>
              <w:t>EXPERTS</w:t>
            </w:r>
          </w:p>
        </w:tc>
        <w:tc>
          <w:tcPr>
            <w:tcW w:w="5140" w:type="dxa"/>
            <w:vAlign w:val="bottom"/>
            <w:gridSpan w:val="12"/>
          </w:tcPr>
          <w:p>
            <w:pPr>
              <w:spacing w:after="0"/>
              <w:rPr>
                <w:sz w:val="12"/>
                <w:szCs w:val="12"/>
                <w:color w:val="auto"/>
              </w:rPr>
            </w:pPr>
          </w:p>
        </w:tc>
        <w:tc>
          <w:tcPr>
            <w:tcW w:w="20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24</w:t>
            </w:r>
          </w:p>
        </w:tc>
      </w:tr>
      <w:tr>
        <w:trPr>
          <w:trHeight w:val="20"/>
        </w:trPr>
        <w:tc>
          <w:tcPr>
            <w:tcW w:w="580" w:type="dxa"/>
            <w:vAlign w:val="bottom"/>
            <w:shd w:val="clear" w:color="auto" w:fill="0000EE"/>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44"/>
        </w:trPr>
        <w:tc>
          <w:tcPr>
            <w:tcW w:w="2900" w:type="dxa"/>
            <w:vAlign w:val="bottom"/>
            <w:tcBorders>
              <w:bottom w:val="single" w:sz="8" w:color="0000EE"/>
            </w:tcBorders>
            <w:gridSpan w:val="14"/>
          </w:tcPr>
          <w:p>
            <w:pPr>
              <w:spacing w:after="0" w:line="144" w:lineRule="exact"/>
              <w:rPr>
                <w:sz w:val="20"/>
                <w:szCs w:val="20"/>
                <w:color w:val="auto"/>
              </w:rPr>
            </w:pPr>
            <w:r>
              <w:rPr>
                <w:rFonts w:ascii="Times New Roman" w:cs="Times New Roman" w:eastAsia="Times New Roman" w:hAnsi="Times New Roman"/>
                <w:sz w:val="14"/>
                <w:szCs w:val="14"/>
                <w:color w:val="0000EE"/>
                <w:w w:val="96"/>
              </w:rPr>
              <w:t>WHERE YOU CAN FIND MORE INFORMATION</w:t>
            </w:r>
          </w:p>
        </w:tc>
        <w:tc>
          <w:tcPr>
            <w:tcW w:w="3340" w:type="dxa"/>
            <w:vAlign w:val="bottom"/>
            <w:gridSpan w:val="2"/>
          </w:tcPr>
          <w:p>
            <w:pPr>
              <w:spacing w:after="0"/>
              <w:rPr>
                <w:sz w:val="12"/>
                <w:szCs w:val="12"/>
                <w:color w:val="auto"/>
              </w:rPr>
            </w:pPr>
          </w:p>
        </w:tc>
        <w:tc>
          <w:tcPr>
            <w:tcW w:w="20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24</w:t>
            </w:r>
          </w:p>
        </w:tc>
      </w:tr>
      <w:tr>
        <w:trPr>
          <w:trHeight w:val="144"/>
        </w:trPr>
        <w:tc>
          <w:tcPr>
            <w:tcW w:w="6240" w:type="dxa"/>
            <w:vAlign w:val="bottom"/>
            <w:gridSpan w:val="16"/>
          </w:tcPr>
          <w:p>
            <w:pPr>
              <w:spacing w:after="0" w:line="144" w:lineRule="exact"/>
              <w:rPr>
                <w:sz w:val="20"/>
                <w:szCs w:val="20"/>
                <w:color w:val="auto"/>
              </w:rPr>
            </w:pPr>
            <w:r>
              <w:rPr>
                <w:rFonts w:ascii="Times New Roman" w:cs="Times New Roman" w:eastAsia="Times New Roman" w:hAnsi="Times New Roman"/>
                <w:sz w:val="14"/>
                <w:szCs w:val="14"/>
                <w:color w:val="0000EE"/>
              </w:rPr>
              <w:t>INCORPORATION BY REFERENCE</w:t>
            </w:r>
          </w:p>
        </w:tc>
        <w:tc>
          <w:tcPr>
            <w:tcW w:w="20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24</w:t>
            </w:r>
          </w:p>
        </w:tc>
      </w:tr>
      <w:tr>
        <w:trPr>
          <w:trHeight w:val="20"/>
        </w:trPr>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ectPr>
          <w:pgSz w:w="11900" w:h="16838" w:orient="portrait"/>
          <w:cols w:equalWidth="0" w:num="1">
            <w:col w:w="10159"/>
          </w:cols>
          <w:pgMar w:left="300" w:top="379"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1" w:lineRule="exact"/>
        <w:rPr>
          <w:sz w:val="20"/>
          <w:szCs w:val="20"/>
          <w:color w:val="auto"/>
        </w:rPr>
      </w:pPr>
    </w:p>
    <w:p>
      <w:pPr>
        <w:ind w:left="1460" w:right="339" w:firstLine="335"/>
        <w:spacing w:after="0" w:line="249"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 utilizing a “shelf” registration process. Under this shelf process, we may sell the securities or any combination of the securities described in this prospectus in one or more offerings for an aggregate offering amount of up to $300,000,000.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 and “Incorporation by Reference.”</w:t>
      </w:r>
    </w:p>
    <w:p>
      <w:pPr>
        <w:spacing w:after="0" w:line="147" w:lineRule="exact"/>
        <w:rPr>
          <w:sz w:val="20"/>
          <w:szCs w:val="20"/>
          <w:color w:val="auto"/>
        </w:rPr>
      </w:pPr>
    </w:p>
    <w:p>
      <w:pPr>
        <w:ind w:left="1460" w:right="519" w:firstLine="335"/>
        <w:spacing w:after="0" w:line="266" w:lineRule="auto"/>
        <w:rPr>
          <w:sz w:val="20"/>
          <w:szCs w:val="20"/>
          <w:color w:val="auto"/>
        </w:rPr>
      </w:pPr>
      <w:r>
        <w:rPr>
          <w:rFonts w:ascii="Times New Roman" w:cs="Times New Roman" w:eastAsia="Times New Roman" w:hAnsi="Times New Roman"/>
          <w:sz w:val="14"/>
          <w:szCs w:val="14"/>
          <w:color w:val="auto"/>
        </w:rPr>
        <w:t>Registration of the securities covered by this prospectus does not mean that these securities will necessarily be offered or sold. As of the date of filing this prospectus, we have no specific plans for selling the securities registered hereunder.</w:t>
      </w:r>
    </w:p>
    <w:p>
      <w:pPr>
        <w:spacing w:after="0" w:line="136" w:lineRule="exact"/>
        <w:rPr>
          <w:sz w:val="20"/>
          <w:szCs w:val="20"/>
          <w:color w:val="auto"/>
        </w:rPr>
      </w:pPr>
    </w:p>
    <w:p>
      <w:pPr>
        <w:ind w:left="1460" w:right="339" w:firstLine="335"/>
        <w:spacing w:after="0" w:line="246" w:lineRule="auto"/>
        <w:rPr>
          <w:sz w:val="20"/>
          <w:szCs w:val="20"/>
          <w:color w:val="auto"/>
        </w:rPr>
      </w:pPr>
      <w:r>
        <w:rPr>
          <w:rFonts w:ascii="Times New Roman" w:cs="Times New Roman" w:eastAsia="Times New Roman" w:hAnsi="Times New Roman"/>
          <w:sz w:val="14"/>
          <w:szCs w:val="14"/>
          <w:color w:val="auto"/>
        </w:rPr>
        <w:t>You should rely only on the information provided in this prospectus as well as the information incorporated by reference herein and any applicable prospectus supplement or amendment. We have not authorized anyone to give any information or to make any representation other than those contained or incorporated by reference in this prospectus. You must not rely upon any information or representation not contained or incorporated by reference in this prospectus. We take no responsibility for, and can provide no assurance as to the reliability of, any other information that others may give you. We are not making an offer of these securities in any state where the offer is not permitted. This prospectus does not constitute an offer to sell or the solicitation of an offer to buy any securities other than the registered securities to which it relates, nor does this prospectus constitute an offer to sell or the solicitation of an offer to buy securities in any jurisdiction to any person to whom it is unlawful to make such offer or solicitation in such jurisdiction. You should not assume that the information contained in this prospectus is accurate on any date subsequent to the date set forth on the front of the document or that any information we have incorporated by reference is correct on any date subsequent to the date of the document incorporated by reference, even though this prospectus is delivered or securities are sold on a later date. Our business, financial condition, results of operations and prospects may have changed since those dates.</w:t>
      </w:r>
    </w:p>
    <w:p>
      <w:pPr>
        <w:spacing w:after="0" w:line="154" w:lineRule="exact"/>
        <w:rPr>
          <w:sz w:val="20"/>
          <w:szCs w:val="20"/>
          <w:color w:val="auto"/>
        </w:rPr>
      </w:pPr>
    </w:p>
    <w:p>
      <w:pPr>
        <w:ind w:left="1460" w:right="379" w:firstLine="335"/>
        <w:spacing w:after="0" w:line="248" w:lineRule="auto"/>
        <w:rPr>
          <w:sz w:val="20"/>
          <w:szCs w:val="20"/>
          <w:color w:val="auto"/>
        </w:rPr>
      </w:pPr>
      <w:r>
        <w:rPr>
          <w:rFonts w:ascii="Times New Roman" w:cs="Times New Roman" w:eastAsia="Times New Roman" w:hAnsi="Times New Roman"/>
          <w:sz w:val="14"/>
          <w:szCs w:val="14"/>
          <w:color w:val="auto"/>
        </w:rPr>
        <w:t>This prospectus, any applicable prospectus supplement or free writing prospectus and the information incorporated herein or therein incorporates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may involve estimates, assumptions and other risks and uncertainties and are subject to change based on various factors, including those discussed under the heading “Risk Factors” contained in this prospectus and under similar headings in other documents that are incorporated by reference into this prospectus. Accordingly, investors should not place undue reliance on this information.</w:t>
      </w:r>
    </w:p>
    <w:p>
      <w:pPr>
        <w:spacing w:after="0" w:line="149" w:lineRule="exact"/>
        <w:rPr>
          <w:sz w:val="20"/>
          <w:szCs w:val="20"/>
          <w:color w:val="auto"/>
        </w:rPr>
      </w:pPr>
    </w:p>
    <w:p>
      <w:pPr>
        <w:ind w:left="1460" w:right="339" w:firstLine="335"/>
        <w:spacing w:after="0" w:line="284" w:lineRule="auto"/>
        <w:rPr>
          <w:sz w:val="20"/>
          <w:szCs w:val="20"/>
          <w:color w:val="auto"/>
        </w:rPr>
      </w:pPr>
      <w:r>
        <w:rPr>
          <w:rFonts w:ascii="Times New Roman" w:cs="Times New Roman" w:eastAsia="Times New Roman" w:hAnsi="Times New Roman"/>
          <w:sz w:val="13"/>
          <w:szCs w:val="13"/>
          <w:color w:val="auto"/>
        </w:rPr>
        <w:t>A prospectus supplement or free writing prospectus may add to, update or change the information contained in this prospectus. You should read both this prospectus and any applicable prospectus supplement together with additional information described below under the heading “Where You Can Find Additional Information” or incorporated by reference herein as described under the heading “Incorporation of Certain Information by Reference.”</w:t>
      </w:r>
    </w:p>
    <w:p>
      <w:pPr>
        <w:spacing w:after="0" w:line="126" w:lineRule="exact"/>
        <w:rPr>
          <w:sz w:val="20"/>
          <w:szCs w:val="20"/>
          <w:color w:val="auto"/>
        </w:rPr>
      </w:pPr>
    </w:p>
    <w:p>
      <w:pPr>
        <w:ind w:left="1460" w:right="599" w:firstLine="335"/>
        <w:spacing w:after="0" w:line="266" w:lineRule="auto"/>
        <w:rPr>
          <w:sz w:val="20"/>
          <w:szCs w:val="20"/>
          <w:color w:val="auto"/>
        </w:rPr>
      </w:pPr>
      <w:r>
        <w:rPr>
          <w:rFonts w:ascii="Times New Roman" w:cs="Times New Roman" w:eastAsia="Times New Roman" w:hAnsi="Times New Roman"/>
          <w:sz w:val="14"/>
          <w:szCs w:val="14"/>
          <w:color w:val="auto"/>
        </w:rPr>
        <w:t>Unless the context otherwise indicates, references in this prospectus to “Company,” “we,” “our” and “us” refer, collectively to Q32 Bio Inc., a Delaware corporation, and its consolidated subsidiaries (including Legacy Q32 (as defined herein)).</w:t>
      </w:r>
    </w:p>
    <w:p>
      <w:pPr>
        <w:spacing w:after="0" w:line="136" w:lineRule="exact"/>
        <w:rPr>
          <w:sz w:val="20"/>
          <w:szCs w:val="20"/>
          <w:color w:val="auto"/>
        </w:rPr>
      </w:pPr>
    </w:p>
    <w:p>
      <w:pPr>
        <w:ind w:left="1460" w:right="559" w:firstLine="335"/>
        <w:spacing w:after="0" w:line="266" w:lineRule="auto"/>
        <w:rPr>
          <w:sz w:val="20"/>
          <w:szCs w:val="20"/>
          <w:color w:val="auto"/>
        </w:rPr>
      </w:pPr>
      <w:r>
        <w:rPr>
          <w:rFonts w:ascii="Times New Roman" w:cs="Times New Roman" w:eastAsia="Times New Roman" w:hAnsi="Times New Roman"/>
          <w:sz w:val="14"/>
          <w:szCs w:val="14"/>
          <w:color w:val="auto"/>
        </w:rPr>
        <w:t>We use various trademarks and trade names in our business, including without limitation our corporate name and logo. All other trademarks or trade names referred to in this prospectus are the property of their</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79"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1460" w:right="399"/>
        <w:spacing w:after="0" w:line="219" w:lineRule="auto"/>
        <w:rPr>
          <w:sz w:val="20"/>
          <w:szCs w:val="20"/>
          <w:color w:val="auto"/>
        </w:rPr>
      </w:pPr>
      <w:r>
        <w:rPr>
          <w:rFonts w:ascii="Times New Roman" w:cs="Times New Roman" w:eastAsia="Times New Roman" w:hAnsi="Times New Roman"/>
          <w:sz w:val="14"/>
          <w:szCs w:val="14"/>
          <w:color w:val="auto"/>
        </w:rPr>
        <w:t xml:space="preserve">respective owners. Solely for convenience, the trademarks and trade names in this prospectus may be referred to without the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symbols, but such references should not be construed as any indicator that their respective owners will not assert, to the fullest extent under applicable law, their rights thereto.</w:t>
      </w:r>
    </w:p>
    <w:p>
      <w:pPr>
        <w:spacing w:after="0" w:line="10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79"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1" w:lineRule="exact"/>
        <w:rPr>
          <w:sz w:val="20"/>
          <w:szCs w:val="20"/>
          <w:color w:val="auto"/>
        </w:rPr>
      </w:pPr>
    </w:p>
    <w:p>
      <w:pPr>
        <w:ind w:left="1460" w:right="339" w:firstLine="335"/>
        <w:spacing w:after="0" w:line="247" w:lineRule="auto"/>
        <w:rPr>
          <w:sz w:val="20"/>
          <w:szCs w:val="20"/>
          <w:color w:val="auto"/>
        </w:rPr>
      </w:pPr>
      <w:r>
        <w:rPr>
          <w:rFonts w:ascii="Times New Roman" w:cs="Times New Roman" w:eastAsia="Times New Roman" w:hAnsi="Times New Roman"/>
          <w:sz w:val="14"/>
          <w:szCs w:val="14"/>
          <w:color w:val="auto"/>
        </w:rPr>
        <w:t>This prospectus contains and/or incorporates by reference statements that are not historical facts and are considered forward-looking within the meaning of Section 27A of the Securities Act, and Section 21E of the Securities Exchange Act of 1934, as amended, or the Exchange Act.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 looking statements in this prospectus may include, for example, statements about:</w:t>
      </w:r>
    </w:p>
    <w:p>
      <w:pPr>
        <w:spacing w:after="0" w:line="80" w:lineRule="exact"/>
        <w:rPr>
          <w:sz w:val="20"/>
          <w:szCs w:val="20"/>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and sustain profitability in the future;</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strategies, prospects, plans, expectations or objectives of management for our future operations;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our future expenses, revenues, capital requirements, cash runway, and our needs for additional financing;</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and anticipated use of our existing cash, cash equivalents and marketable securities;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scope or timing of the development of our product candidates;</w:t>
      </w:r>
    </w:p>
    <w:p>
      <w:pPr>
        <w:spacing w:after="0" w:line="95" w:lineRule="exact"/>
        <w:rPr>
          <w:rFonts w:ascii="Times New Roman" w:cs="Times New Roman" w:eastAsia="Times New Roman" w:hAnsi="Times New Roman"/>
          <w:sz w:val="14"/>
          <w:szCs w:val="14"/>
          <w:color w:val="auto"/>
        </w:rPr>
      </w:pPr>
    </w:p>
    <w:p>
      <w:pPr>
        <w:ind w:left="2200" w:right="759" w:hanging="331"/>
        <w:spacing w:after="0" w:line="266" w:lineRule="auto"/>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surrounding the potential safety, efficacy, and regulatory and clinical progress of our product candidates, including bempikibart, and our anticipated milestones and timing therefor;</w:t>
      </w:r>
    </w:p>
    <w:p>
      <w:pPr>
        <w:spacing w:after="0" w:line="63"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regulatory approval of our product candidates;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and maintain market acceptance and adoption of our product candidates;</w:t>
      </w:r>
    </w:p>
    <w:p>
      <w:pPr>
        <w:spacing w:after="0" w:line="95" w:lineRule="exact"/>
        <w:rPr>
          <w:rFonts w:ascii="Times New Roman" w:cs="Times New Roman" w:eastAsia="Times New Roman" w:hAnsi="Times New Roman"/>
          <w:sz w:val="14"/>
          <w:szCs w:val="14"/>
          <w:color w:val="auto"/>
        </w:rPr>
      </w:pPr>
    </w:p>
    <w:p>
      <w:pPr>
        <w:ind w:left="2200" w:right="399" w:hanging="331"/>
        <w:spacing w:after="0" w:line="266" w:lineRule="auto"/>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benefits that may be derived from any of our future products or the commercial or market opportunity with respect to any of our future products;</w:t>
      </w:r>
    </w:p>
    <w:p>
      <w:pPr>
        <w:spacing w:after="0" w:line="63"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patent protection for our product candidates and protect our intellectual property rights;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compete against other companies developing similar products to ours;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anticipated operations, financial position, ability to raise capital to fund our operations, revenues, costs or expenses;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our key executives and to attract and retain highly qualified personnel;</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protect against cyber-attacks, security breaches and other disruptions to our information technology systems;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an effective system of internal controls over financial reporting;</w:t>
      </w:r>
    </w:p>
    <w:p>
      <w:pPr>
        <w:spacing w:after="0" w:line="95" w:lineRule="exact"/>
        <w:rPr>
          <w:rFonts w:ascii="Times New Roman" w:cs="Times New Roman" w:eastAsia="Times New Roman" w:hAnsi="Times New Roman"/>
          <w:sz w:val="14"/>
          <w:szCs w:val="14"/>
          <w:color w:val="auto"/>
        </w:rPr>
      </w:pPr>
    </w:p>
    <w:p>
      <w:pPr>
        <w:ind w:left="2200" w:right="519" w:hanging="331"/>
        <w:spacing w:after="0" w:line="252" w:lineRule="auto"/>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unfavorable macroeconomic conditions or market volatility resulting from global economic conditions or geopolitical developments, including fluctuating interest rates and inflation and capital market disruptions, changes in governmental agencies, government shutdowns, international tariffs, trade protection measures, public health crises, economic sanctions and potential economic slowdowns or recessions, or similar events;</w:t>
      </w:r>
    </w:p>
    <w:p>
      <w:pPr>
        <w:spacing w:after="0" w:line="72"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 parties in the supply and manufacture of our product candidates;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applicable laws and regulations, whether in the U.S. or foreign jurisdictions, and any changes thereto;</w:t>
      </w:r>
    </w:p>
    <w:p>
      <w:pPr>
        <w:spacing w:after="0" w:line="1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79"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2200" w:right="359" w:hanging="331"/>
        <w:spacing w:after="0" w:line="266" w:lineRule="auto"/>
        <w:tabs>
          <w:tab w:leader="none" w:pos="2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statements regarding our future economic conditions or performance, statements of belief and any statement of assumptions underlying any of the foregoing; and</w:t>
      </w:r>
    </w:p>
    <w:p>
      <w:pPr>
        <w:spacing w:after="0" w:line="63"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including those listed under the caption “Risk Factors.”</w:t>
      </w:r>
    </w:p>
    <w:p>
      <w:pPr>
        <w:spacing w:after="0" w:line="167" w:lineRule="exact"/>
        <w:rPr>
          <w:sz w:val="20"/>
          <w:szCs w:val="20"/>
          <w:color w:val="auto"/>
        </w:rPr>
      </w:pPr>
    </w:p>
    <w:p>
      <w:pPr>
        <w:ind w:left="1460" w:right="359" w:firstLine="335"/>
        <w:spacing w:after="0" w:line="250" w:lineRule="auto"/>
        <w:rPr>
          <w:sz w:val="20"/>
          <w:szCs w:val="20"/>
          <w:color w:val="auto"/>
        </w:rPr>
      </w:pPr>
      <w:r>
        <w:rPr>
          <w:rFonts w:ascii="Times New Roman" w:cs="Times New Roman" w:eastAsia="Times New Roman" w:hAnsi="Times New Roman"/>
          <w:sz w:val="14"/>
          <w:szCs w:val="14"/>
          <w:color w:val="auto"/>
        </w:rPr>
        <w:t>These forward-looking statements are based on information available to us at the time of this prospectus or the documents incorporated by reference herein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46" w:lineRule="exact"/>
        <w:rPr>
          <w:sz w:val="20"/>
          <w:szCs w:val="20"/>
          <w:color w:val="auto"/>
        </w:rPr>
      </w:pPr>
    </w:p>
    <w:p>
      <w:pPr>
        <w:ind w:left="1460" w:right="419" w:firstLine="335"/>
        <w:spacing w:after="0" w:line="247" w:lineRule="auto"/>
        <w:rPr>
          <w:sz w:val="20"/>
          <w:szCs w:val="20"/>
          <w:color w:val="auto"/>
        </w:rPr>
      </w:pPr>
      <w:r>
        <w:rPr>
          <w:rFonts w:ascii="Times New Roman" w:cs="Times New Roman" w:eastAsia="Times New Roman" w:hAnsi="Times New Roman"/>
          <w:sz w:val="14"/>
          <w:szCs w:val="14"/>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including those set forth in this prospectus in the section entitled “Risk Factors” and in our periodic filings with the SEC. Our SEC filings are available publicly on the SEC’s website at www.sec.gov. 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 Should one or more of the risks or uncertainties described in this prospectus, or should underlying assumptions prove incorrect, actual results and plans could differ materially from those expressed in any forward-looking statements.</w:t>
      </w:r>
    </w:p>
    <w:p>
      <w:pPr>
        <w:spacing w:after="0" w:line="152" w:lineRule="exact"/>
        <w:rPr>
          <w:sz w:val="20"/>
          <w:szCs w:val="20"/>
          <w:color w:val="auto"/>
        </w:rPr>
      </w:pPr>
    </w:p>
    <w:p>
      <w:pPr>
        <w:ind w:left="1460" w:right="459" w:firstLine="335"/>
        <w:spacing w:after="0" w:line="250" w:lineRule="auto"/>
        <w:rPr>
          <w:sz w:val="20"/>
          <w:szCs w:val="20"/>
          <w:color w:val="auto"/>
        </w:rPr>
      </w:pPr>
      <w:r>
        <w:rPr>
          <w:rFonts w:ascii="Times New Roman" w:cs="Times New Roman" w:eastAsia="Times New Roman" w:hAnsi="Times New Roman"/>
          <w:sz w:val="14"/>
          <w:szCs w:val="14"/>
          <w:color w:val="auto"/>
        </w:rPr>
        <w:t>You should read this prospectus and any accompanying prospectus supplement completely and with the understanding that our actual future results, levels of activity and performance as well as other events and circumstances may be materially different from what we expect. Except as otherwise required by applicable law, we disclaim any duty to update any forward-looking statements, all of which are expressly qualified by the statements in this section, to reflect events or circumstances after the date of this prospectus. We qualify all of our forward-looking statements by these cautionary statements.</w:t>
      </w:r>
    </w:p>
    <w:p>
      <w:pPr>
        <w:spacing w:after="0" w:line="9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79"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159385</wp:posOffset>
            </wp:positionV>
            <wp:extent cx="5321300" cy="4715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21300" cy="4715510"/>
                    </a:xfrm>
                    <a:prstGeom prst="rect">
                      <a:avLst/>
                    </a:prstGeom>
                    <a:noFill/>
                  </pic:spPr>
                </pic:pic>
              </a:graphicData>
            </a:graphic>
          </wp:anchor>
        </w:drawing>
      </w:r>
    </w:p>
    <w:p>
      <w:pPr>
        <w:spacing w:after="0" w:line="35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6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89" w:lineRule="exact"/>
        <w:rPr>
          <w:sz w:val="20"/>
          <w:szCs w:val="20"/>
          <w:color w:val="auto"/>
        </w:rPr>
      </w:pPr>
    </w:p>
    <w:p>
      <w:pPr>
        <w:ind w:left="1600" w:right="499" w:firstLine="324"/>
        <w:spacing w:after="0" w:line="266" w:lineRule="auto"/>
        <w:rPr>
          <w:sz w:val="20"/>
          <w:szCs w:val="20"/>
          <w:color w:val="auto"/>
        </w:rPr>
      </w:pPr>
      <w:r>
        <w:rPr>
          <w:rFonts w:ascii="Times New Roman" w:cs="Times New Roman" w:eastAsia="Times New Roman" w:hAnsi="Times New Roman"/>
          <w:sz w:val="14"/>
          <w:szCs w:val="14"/>
          <w:color w:val="auto"/>
        </w:rPr>
        <w:t>We are a clinical stage biotechnology company focused on developing innovative therapies for alopecia areata, or AA, and other autoimmune and inflammatory diseases.</w:t>
      </w:r>
    </w:p>
    <w:p>
      <w:pPr>
        <w:spacing w:after="0" w:line="136" w:lineRule="exact"/>
        <w:rPr>
          <w:sz w:val="20"/>
          <w:szCs w:val="20"/>
          <w:color w:val="auto"/>
        </w:rPr>
      </w:pPr>
    </w:p>
    <w:p>
      <w:pPr>
        <w:ind w:left="1600" w:right="719" w:firstLine="324"/>
        <w:spacing w:after="0" w:line="250" w:lineRule="auto"/>
        <w:rPr>
          <w:sz w:val="20"/>
          <w:szCs w:val="20"/>
          <w:color w:val="auto"/>
        </w:rPr>
      </w:pPr>
      <w:r>
        <w:rPr>
          <w:rFonts w:ascii="Times New Roman" w:cs="Times New Roman" w:eastAsia="Times New Roman" w:hAnsi="Times New Roman"/>
          <w:sz w:val="14"/>
          <w:szCs w:val="14"/>
          <w:color w:val="auto"/>
        </w:rPr>
        <w:t>Bempikibart (ADX-914), our most advanced product candidate, is a fully human anti–interleukin-7 receptor alpha antagonist monoclonal antibody designed to re-regulate adaptive immune function by potently blocking signaling mediated by interleukin-7 and thymic stromal lymphopoietin. We have completed two Phase 2a clinical trials evaluating bempikibart, SIGNAL-AA Part A, for the treatment of AA, and SIGNAL-AD, for the treatment of atopic dermatitis. In December 2024, we announced topline results from both of these trials, as well as our intention to advance bempikibart for the treatment of AA.</w:t>
      </w:r>
    </w:p>
    <w:p>
      <w:pPr>
        <w:spacing w:after="0" w:line="146" w:lineRule="exact"/>
        <w:rPr>
          <w:sz w:val="20"/>
          <w:szCs w:val="20"/>
          <w:color w:val="auto"/>
        </w:rPr>
      </w:pPr>
    </w:p>
    <w:p>
      <w:pPr>
        <w:ind w:left="1600" w:right="539" w:firstLine="324"/>
        <w:spacing w:after="0" w:line="250" w:lineRule="auto"/>
        <w:rPr>
          <w:sz w:val="20"/>
          <w:szCs w:val="20"/>
          <w:color w:val="auto"/>
        </w:rPr>
      </w:pPr>
      <w:r>
        <w:rPr>
          <w:rFonts w:ascii="Times New Roman" w:cs="Times New Roman" w:eastAsia="Times New Roman" w:hAnsi="Times New Roman"/>
          <w:sz w:val="14"/>
          <w:szCs w:val="14"/>
          <w:color w:val="auto"/>
        </w:rPr>
        <w:t>In April 2025, we announced dosing of the first patients in Part B of the SIGNAL-AA Phase 2a clinical trial. Patients will be treated with bempikibart for 36 weeks, with follow-up out to 52 weeks. Efficacy will be evaluated on the basis of mean percentage change from baseline in Severity of Alopecia Tool, or SALT, scores as well as the proportion of subjects achieving various relative and absolute SALT score improvements at week 36, with follow-up through week 52. The trial is intended to support advancement into pivotal trials upon completion, pending review of the results.</w:t>
      </w:r>
    </w:p>
    <w:p>
      <w:pPr>
        <w:spacing w:after="0" w:line="146" w:lineRule="exact"/>
        <w:rPr>
          <w:sz w:val="20"/>
          <w:szCs w:val="20"/>
          <w:color w:val="auto"/>
        </w:rPr>
      </w:pPr>
    </w:p>
    <w:p>
      <w:pPr>
        <w:jc w:val="both"/>
        <w:ind w:left="1600" w:right="539" w:firstLine="324"/>
        <w:spacing w:after="0" w:line="255" w:lineRule="auto"/>
        <w:rPr>
          <w:sz w:val="20"/>
          <w:szCs w:val="20"/>
          <w:color w:val="auto"/>
        </w:rPr>
      </w:pPr>
      <w:r>
        <w:rPr>
          <w:rFonts w:ascii="Times New Roman" w:cs="Times New Roman" w:eastAsia="Times New Roman" w:hAnsi="Times New Roman"/>
          <w:sz w:val="14"/>
          <w:szCs w:val="14"/>
          <w:color w:val="auto"/>
        </w:rPr>
        <w:t>Following completion of the SIGNAL-AA Part B trial through 52 weeks, eligible patients can enter an open-label extension, or OLE, period to enable longer-term follow-up and continued dosing. In May 2026, we announced that the first patient has been dosed in the OLE portion of Part B.</w:t>
      </w:r>
    </w:p>
    <w:p>
      <w:pPr>
        <w:spacing w:after="0" w:line="143" w:lineRule="exact"/>
        <w:rPr>
          <w:sz w:val="20"/>
          <w:szCs w:val="20"/>
          <w:color w:val="auto"/>
        </w:rPr>
      </w:pPr>
    </w:p>
    <w:p>
      <w:pPr>
        <w:ind w:left="1600" w:right="479" w:firstLine="324"/>
        <w:spacing w:after="0" w:line="247" w:lineRule="auto"/>
        <w:rPr>
          <w:sz w:val="20"/>
          <w:szCs w:val="20"/>
          <w:color w:val="auto"/>
        </w:rPr>
      </w:pPr>
      <w:r>
        <w:rPr>
          <w:rFonts w:ascii="Times New Roman" w:cs="Times New Roman" w:eastAsia="Times New Roman" w:hAnsi="Times New Roman"/>
          <w:sz w:val="14"/>
          <w:szCs w:val="14"/>
          <w:color w:val="auto"/>
        </w:rPr>
        <w:t>In addition to bempikibart, our strategy has been focused on the advancement of our proprietary tissue-targeted complement inhibitor platform. However, in February 2025, we announced a corporate restructuring to focus on the advancement of bempikibart for the treatment of patients with AA. In November 2025, we entered into an Asset Purchase Agreement with Akebia Therapeutics, Inc., or Akebia, pursuant to which we sold to Akebia substantially all of our assets related to the research, development, manufacture and commercialization of ADX-097, a Phase 2 asset from this platform. Following the asset sale, Akebia is now responsible for the future development and commercialization of ADX-097. Other assets developed from our proprietary platform include ADX-096, and C3d mAb fusions and nanobodies designed for tissue-targeted complement inhibition. We retain the rights to our wholly owned tissue-targeted complement inhibitor platform, including ADX-096, and other remaining early-stage assets, and are continuing to evaluate strategic options for these programs.</w:t>
      </w:r>
    </w:p>
    <w:p>
      <w:pPr>
        <w:spacing w:after="0" w:line="23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89" w:lineRule="exact"/>
        <w:rPr>
          <w:sz w:val="20"/>
          <w:szCs w:val="20"/>
          <w:color w:val="auto"/>
        </w:rPr>
      </w:pPr>
    </w:p>
    <w:p>
      <w:pPr>
        <w:ind w:left="1600" w:right="519" w:firstLine="324"/>
        <w:spacing w:after="0" w:line="247" w:lineRule="auto"/>
        <w:rPr>
          <w:sz w:val="20"/>
          <w:szCs w:val="20"/>
          <w:color w:val="auto"/>
        </w:rPr>
      </w:pPr>
      <w:r>
        <w:rPr>
          <w:rFonts w:ascii="Times New Roman" w:cs="Times New Roman" w:eastAsia="Times New Roman" w:hAnsi="Times New Roman"/>
          <w:sz w:val="14"/>
          <w:szCs w:val="14"/>
          <w:color w:val="auto"/>
        </w:rPr>
        <w:t>We were incorporated under the laws of the State of Delaware on April 10, 2017. On March 25, 2024, Kenobi Merger Sub, Inc., or Merger Sub, a wholly-owned subsidiary of Homology Medicines, Inc., or Homology, completed its merger with and into Q32 Bio Operations Inc. (previously named Q32 Bio Inc. and referred to herein as Legacy Q32), with Legacy Q32 continuing as the surviving entity as a wholly-owned subsidiary of Homology. This transaction is referred to herein as the Merger. Homology changed its name to Q32 Bio Inc., and Legacy Q32, which remains as a wholly-owned subsidiary of ours, changed its name to Q32 Bio Operations, Inc. The Merger was effected pursuant to an Agreement and Plan of Merger, or the Merger Agreement, dated as of November 16, 2023, by and among Homology, Legacy Q32, and Merger Sub. Effective March 26, 2024, our common stock began trading on the Nasdaq Global Market under the trading symbol “QTTB.” Our principal executive office is located at 830 Winter Street, Waltham, Massachusetts 02451, and our telephone number is (781) 999-0232. Our website address is https://www.q32bio.com. We do not incorporate the information on or accessible through our website into this prospectus, and you should not consider any information on, or that can be accessed through, our website as part of this prospectus.</w:t>
      </w:r>
    </w:p>
    <w:p>
      <w:pPr>
        <w:spacing w:after="0" w:line="24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79"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159385</wp:posOffset>
            </wp:positionV>
            <wp:extent cx="5321300" cy="9639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21300" cy="963930"/>
                    </a:xfrm>
                    <a:prstGeom prst="rect">
                      <a:avLst/>
                    </a:prstGeom>
                    <a:noFill/>
                  </pic:spPr>
                </pic:pic>
              </a:graphicData>
            </a:graphic>
          </wp:anchor>
        </w:drawing>
      </w:r>
    </w:p>
    <w:p>
      <w:pPr>
        <w:spacing w:after="0" w:line="3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Implications of Being a Smaller Reporting Company</w:t>
      </w:r>
    </w:p>
    <w:p>
      <w:pPr>
        <w:spacing w:after="0" w:line="8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3"/>
          <w:szCs w:val="13"/>
          <w:color w:val="auto"/>
        </w:rPr>
        <w:t>We are a “smaller reporting company” as defined in the Exchange Act. We may take advantage of certain of the scaled disclosures available</w:t>
      </w:r>
    </w:p>
    <w:p>
      <w:pPr>
        <w:spacing w:after="0" w:line="2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to smaller reporting companies and will be able to take advantage of these scaled disclosures for so long as the market value of the common stock</w:t>
      </w:r>
    </w:p>
    <w:p>
      <w:pPr>
        <w:spacing w:after="0" w:line="1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held by non-affiliates is less than $250.0 million measured on the last business day of our second fiscal quarter, or our annual revenue is less than</w:t>
      </w:r>
    </w:p>
    <w:p>
      <w:pPr>
        <w:spacing w:after="0" w:line="1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$100.0 million during the most recently completed fiscal year and the market value of the common stock held by non-affiliates is less than</w:t>
      </w:r>
    </w:p>
    <w:p>
      <w:pPr>
        <w:spacing w:after="0" w:line="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$700.0 million measured on the last business day of our second fiscal quarter. As a result, the information in or incorporated by reference into this</w:t>
      </w:r>
    </w:p>
    <w:p>
      <w:pPr>
        <w:spacing w:after="0" w:line="1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prospectus and that we provide to our investors in the future may be different than what you might receive from other public reporting companies.</w:t>
      </w:r>
    </w:p>
    <w:p>
      <w:pPr>
        <w:spacing w:after="0" w:line="25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79"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159385</wp:posOffset>
            </wp:positionV>
            <wp:extent cx="5321300" cy="911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21300" cy="911860"/>
                    </a:xfrm>
                    <a:prstGeom prst="rect">
                      <a:avLst/>
                    </a:prstGeom>
                    <a:noFill/>
                  </pic:spPr>
                </pic:pic>
              </a:graphicData>
            </a:graphic>
          </wp:anchor>
        </w:drawing>
      </w:r>
    </w:p>
    <w:p>
      <w:pPr>
        <w:spacing w:after="0" w:line="3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SECURITIES WE MAY OFFER</w:t>
      </w:r>
    </w:p>
    <w:p>
      <w:pPr>
        <w:spacing w:after="0" w:line="171" w:lineRule="exact"/>
        <w:rPr>
          <w:sz w:val="20"/>
          <w:szCs w:val="20"/>
          <w:color w:val="auto"/>
        </w:rPr>
      </w:pPr>
    </w:p>
    <w:p>
      <w:pPr>
        <w:ind w:left="1600" w:right="659" w:firstLine="324"/>
        <w:spacing w:after="0" w:line="250" w:lineRule="auto"/>
        <w:rPr>
          <w:sz w:val="20"/>
          <w:szCs w:val="20"/>
          <w:color w:val="auto"/>
        </w:rPr>
      </w:pPr>
      <w:r>
        <w:rPr>
          <w:rFonts w:ascii="Times New Roman" w:cs="Times New Roman" w:eastAsia="Times New Roman" w:hAnsi="Times New Roman"/>
          <w:sz w:val="14"/>
          <w:szCs w:val="14"/>
          <w:color w:val="auto"/>
        </w:rPr>
        <w:t>We may offer from time to time, in one or more offerings, any combination of up to $300,000,000 in the aggregate principal amount of the following securities at prices and on terms to be determined by market conditions at the time of offering: common stock, preferred stock, debt securities, warrants, and units. This prospectus may not be used to offer or sell securities unless accompanied by an applicable prospectus supplement. The applicable prospectus supplement may add, update or change information contained in this prospectus or in documents incorporated by reference in this prospectus. You should read the prospectus supplement related to any securities being offered.</w:t>
      </w:r>
    </w:p>
    <w:p>
      <w:pPr>
        <w:spacing w:after="0" w:line="23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79"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1" w:lineRule="exact"/>
        <w:rPr>
          <w:sz w:val="20"/>
          <w:szCs w:val="20"/>
          <w:color w:val="auto"/>
        </w:rPr>
      </w:pPr>
    </w:p>
    <w:p>
      <w:pPr>
        <w:ind w:left="1460" w:right="379" w:firstLine="335"/>
        <w:spacing w:after="0" w:line="247" w:lineRule="auto"/>
        <w:rPr>
          <w:sz w:val="20"/>
          <w:szCs w:val="20"/>
          <w:color w:val="auto"/>
        </w:rPr>
      </w:pPr>
      <w:r>
        <w:rPr>
          <w:rFonts w:ascii="Times New Roman" w:cs="Times New Roman" w:eastAsia="Times New Roman" w:hAnsi="Times New Roman"/>
          <w:sz w:val="14"/>
          <w:szCs w:val="14"/>
          <w:color w:val="auto"/>
        </w:rPr>
        <w:t>Investing in our securities involves risks. Before you make a decision to buy our securities, in addition to the risks and uncertainties discussed above under “Cautionary Note Regarding Forward-Looking Statements,” you should carefully consider the risks factors incorporated herein by reference to our most recent Annual Report on Form 10-K and in any subsequent Quarterly Reports on Form 10-Q or Current Reports on Form 8-K we file after the date of this prospectus, all other information contained or incorporated by reference into this prospectus, as updated by our subsequent filings under the Exchange Act, and the risk factors and other information contained in any applicable prospectus supplement. We operate in a dynamic and rapidly changing industry that involves numerous risks and uncertainties.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9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79"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1" w:lineRule="exact"/>
        <w:rPr>
          <w:sz w:val="20"/>
          <w:szCs w:val="20"/>
          <w:color w:val="auto"/>
        </w:rPr>
      </w:pPr>
    </w:p>
    <w:p>
      <w:pPr>
        <w:ind w:left="1460" w:right="539" w:firstLine="335"/>
        <w:spacing w:after="0" w:line="252" w:lineRule="auto"/>
        <w:rPr>
          <w:sz w:val="20"/>
          <w:szCs w:val="20"/>
          <w:color w:val="auto"/>
        </w:rPr>
      </w:pPr>
      <w:r>
        <w:rPr>
          <w:rFonts w:ascii="Times New Roman" w:cs="Times New Roman" w:eastAsia="Times New Roman" w:hAnsi="Times New Roman"/>
          <w:sz w:val="14"/>
          <w:szCs w:val="14"/>
          <w:color w:val="auto"/>
        </w:rPr>
        <w:t>We will retain broad discretion over the use of the net proceeds from any sale of our securities offered by us under this prospectus. Unless otherwise indicated in a prospectus supplement, the net proceeds from our sale of securities will be used for general corporate purposes, including working capital, expenses related to research, clinical development and commercial efforts and general and administrative expenses, acquisitions and other business opportunities.</w:t>
      </w:r>
    </w:p>
    <w:p>
      <w:pPr>
        <w:spacing w:after="0" w:line="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79"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1" w:lineRule="exact"/>
        <w:rPr>
          <w:sz w:val="20"/>
          <w:szCs w:val="20"/>
          <w:color w:val="auto"/>
        </w:rPr>
      </w:pPr>
    </w:p>
    <w:p>
      <w:pPr>
        <w:ind w:left="1460" w:right="479" w:firstLine="335"/>
        <w:spacing w:after="0" w:line="255" w:lineRule="auto"/>
        <w:rPr>
          <w:sz w:val="20"/>
          <w:szCs w:val="20"/>
          <w:color w:val="auto"/>
        </w:rPr>
      </w:pPr>
      <w:r>
        <w:rPr>
          <w:rFonts w:ascii="Times New Roman" w:cs="Times New Roman" w:eastAsia="Times New Roman" w:hAnsi="Times New Roman"/>
          <w:sz w:val="14"/>
          <w:szCs w:val="14"/>
          <w:color w:val="auto"/>
        </w:rPr>
        <w:t>The following description summarizes some of the terms of our restated certificate of incorporation and amended and restated bylaws and of the Delaware General Corporation Law. This description is summarized from, and qualified in its entirety by reference to, our restated certificate of incorporation and amended and restated bylaws, each of which has been publicly filed with the SEC.</w:t>
      </w:r>
    </w:p>
    <w:p>
      <w:pPr>
        <w:spacing w:after="0" w:line="14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Our authorized capital stock consists of:</w:t>
      </w:r>
    </w:p>
    <w:p>
      <w:pPr>
        <w:spacing w:after="0" w:line="95" w:lineRule="exact"/>
        <w:rPr>
          <w:sz w:val="20"/>
          <w:szCs w:val="20"/>
          <w:color w:val="auto"/>
        </w:rPr>
      </w:pPr>
    </w:p>
    <w:p>
      <w:pPr>
        <w:ind w:left="2200" w:hanging="331"/>
        <w:spacing w:after="0"/>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400,000,000 shares of common stock, par value $0.0001 per share; and</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 shares of preferred stock, par value $0.0001 per share.</w:t>
      </w:r>
    </w:p>
    <w:p>
      <w:pPr>
        <w:spacing w:after="0" w:line="24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8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Our common stock is listed on Nasdaq under the symbol “QTTB.”</w:t>
      </w:r>
    </w:p>
    <w:p>
      <w:pPr>
        <w:spacing w:after="0" w:line="163" w:lineRule="exact"/>
        <w:rPr>
          <w:sz w:val="20"/>
          <w:szCs w:val="20"/>
          <w:color w:val="auto"/>
        </w:rPr>
      </w:pPr>
    </w:p>
    <w:p>
      <w:pPr>
        <w:ind w:left="1460" w:right="339" w:firstLine="335"/>
        <w:spacing w:after="0" w:line="269" w:lineRule="auto"/>
        <w:rPr>
          <w:sz w:val="20"/>
          <w:szCs w:val="20"/>
          <w:color w:val="auto"/>
        </w:rPr>
      </w:pPr>
      <w:r>
        <w:rPr>
          <w:rFonts w:ascii="Times New Roman" w:cs="Times New Roman" w:eastAsia="Times New Roman" w:hAnsi="Times New Roman"/>
          <w:sz w:val="13"/>
          <w:szCs w:val="13"/>
          <w:i w:val="1"/>
          <w:iCs w:val="1"/>
          <w:color w:val="auto"/>
        </w:rPr>
        <w:t xml:space="preserve">Voting Rights. </w:t>
      </w:r>
      <w:r>
        <w:rPr>
          <w:rFonts w:ascii="Times New Roman" w:cs="Times New Roman" w:eastAsia="Times New Roman" w:hAnsi="Times New Roman"/>
          <w:sz w:val="13"/>
          <w:szCs w:val="13"/>
          <w:color w:val="auto"/>
        </w:rPr>
        <w:t>Holders of our common stock are entitled to one vote for each share held on all matters submitted to a vote of stockholders and do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restated certificate of incorporation, as amended,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restated certificate of incorporation, as amended. See below under </w:t>
      </w:r>
      <w:r>
        <w:rPr>
          <w:rFonts w:ascii="Times New Roman" w:cs="Times New Roman" w:eastAsia="Times New Roman" w:hAnsi="Times New Roman"/>
          <w:sz w:val="13"/>
          <w:szCs w:val="13"/>
          <w:i w:val="1"/>
          <w:iCs w:val="1"/>
          <w:color w:val="auto"/>
        </w:rPr>
        <w:t>“-Anti-Takeover Effects of Delaware Law and Our Certificate of Incorporation and Bylaws-Amendment of Charter Provisions</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1460" w:right="359" w:firstLine="335"/>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Rights Upon Liquidation. </w:t>
      </w:r>
      <w:r>
        <w:rPr>
          <w:rFonts w:ascii="Times New Roman" w:cs="Times New Roman" w:eastAsia="Times New Roman" w:hAnsi="Times New Roman"/>
          <w:sz w:val="14"/>
          <w:szCs w:val="14"/>
          <w:color w:val="auto"/>
        </w:rPr>
        <w:t>In the event of our liquidation or dissolution, the holders of common stock are entitled to receive proportionately our net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assets available for distribution to stockholders after the payment of all debts and other liabilities and subject to the prior rights of any outstanding preferred stock.</w:t>
      </w:r>
    </w:p>
    <w:p>
      <w:pPr>
        <w:spacing w:after="0" w:line="137" w:lineRule="exact"/>
        <w:rPr>
          <w:sz w:val="20"/>
          <w:szCs w:val="20"/>
          <w:color w:val="auto"/>
        </w:rPr>
      </w:pPr>
    </w:p>
    <w:p>
      <w:pPr>
        <w:ind w:left="1460" w:right="419" w:firstLine="335"/>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Other Rights. </w:t>
      </w:r>
      <w:r>
        <w:rPr>
          <w:rFonts w:ascii="Times New Roman" w:cs="Times New Roman" w:eastAsia="Times New Roman" w:hAnsi="Times New Roman"/>
          <w:sz w:val="14"/>
          <w:szCs w:val="14"/>
          <w:color w:val="auto"/>
        </w:rPr>
        <w:t>Holders of common stock have no preemptive, subscription, redemption or conversion rights. Our outstanding shares of common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 are,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Transfer Agent</w:t>
      </w:r>
    </w:p>
    <w:p>
      <w:pPr>
        <w:spacing w:after="0" w:line="8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The transfer agent and registrar for our common stock is Equiniti Trust Company, LLC.</w:t>
      </w:r>
    </w:p>
    <w:p>
      <w:pPr>
        <w:spacing w:after="0" w:line="24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Dividend</w:t>
      </w:r>
    </w:p>
    <w:p>
      <w:pPr>
        <w:spacing w:after="0" w:line="89" w:lineRule="exact"/>
        <w:rPr>
          <w:sz w:val="20"/>
          <w:szCs w:val="20"/>
          <w:color w:val="auto"/>
        </w:rPr>
      </w:pPr>
    </w:p>
    <w:p>
      <w:pPr>
        <w:ind w:left="1460" w:right="359" w:firstLine="335"/>
        <w:spacing w:after="0" w:line="249" w:lineRule="auto"/>
        <w:rPr>
          <w:sz w:val="20"/>
          <w:szCs w:val="20"/>
          <w:color w:val="auto"/>
        </w:rPr>
      </w:pPr>
      <w:r>
        <w:rPr>
          <w:rFonts w:ascii="Times New Roman" w:cs="Times New Roman" w:eastAsia="Times New Roman" w:hAnsi="Times New Roman"/>
          <w:sz w:val="14"/>
          <w:szCs w:val="14"/>
          <w:color w:val="auto"/>
        </w:rPr>
        <w:t>Holders of common stock are entitled to receive proportionately any dividends as may be declared by our board of directors, subject to any preferential dividend rights of outstanding preferred stock. We have never declared or paid any cash dividends on our common stock. We do not intend to declare or pay cash dividends for the foreseeable future. We currently expect to retain all future earnings, if any, for use in the development, operation and expansion of our business. Any determination to pay cash dividends in the future will depend upon, among other things, our results of operations, plans for expansion, tax considerations, available net profits and reserves, limitations under law, financial condition, capital requirements and other factors that our board of directors considers to be relevant.</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79"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89" w:lineRule="exact"/>
        <w:rPr>
          <w:sz w:val="20"/>
          <w:szCs w:val="20"/>
          <w:color w:val="auto"/>
        </w:rPr>
      </w:pPr>
    </w:p>
    <w:p>
      <w:pPr>
        <w:ind w:left="1460" w:right="479" w:firstLine="335"/>
        <w:spacing w:after="0" w:line="252" w:lineRule="auto"/>
        <w:rPr>
          <w:sz w:val="20"/>
          <w:szCs w:val="20"/>
          <w:color w:val="auto"/>
        </w:rPr>
      </w:pPr>
      <w:r>
        <w:rPr>
          <w:rFonts w:ascii="Times New Roman" w:cs="Times New Roman" w:eastAsia="Times New Roman" w:hAnsi="Times New Roman"/>
          <w:sz w:val="14"/>
          <w:szCs w:val="14"/>
          <w:color w:val="auto"/>
        </w:rPr>
        <w:t>Under the terms of our restated certificate of incorporation, as amended, our board of directors is authorized to issue shares of preferred stock in one or more series without stockholder approval. Our board of directors have the discretion to determine the rights, preferences, privileges and restrictions, including voting rights, dividend rights, conversion rights, redemption privileges and liquidation preferences, of each series of preferred stock.</w:t>
      </w:r>
    </w:p>
    <w:p>
      <w:pPr>
        <w:spacing w:after="0" w:line="145" w:lineRule="exact"/>
        <w:rPr>
          <w:sz w:val="20"/>
          <w:szCs w:val="20"/>
          <w:color w:val="auto"/>
        </w:rPr>
      </w:pPr>
    </w:p>
    <w:p>
      <w:pPr>
        <w:ind w:left="1460" w:right="359" w:firstLine="335"/>
        <w:spacing w:after="0" w:line="252" w:lineRule="auto"/>
        <w:rPr>
          <w:sz w:val="20"/>
          <w:szCs w:val="20"/>
          <w:color w:val="auto"/>
        </w:rPr>
      </w:pPr>
      <w:r>
        <w:rPr>
          <w:rFonts w:ascii="Times New Roman" w:cs="Times New Roman" w:eastAsia="Times New Roman" w:hAnsi="Times New Roman"/>
          <w:sz w:val="14"/>
          <w:szCs w:val="14"/>
          <w:color w:val="auto"/>
        </w:rPr>
        <w:t>The purpose of authorizing the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w:t>
      </w:r>
    </w:p>
    <w:p>
      <w:pPr>
        <w:spacing w:after="0" w:line="2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8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i w:val="1"/>
          <w:iCs w:val="1"/>
          <w:color w:val="auto"/>
        </w:rPr>
        <w:t>2024 Registration Rights Agreement</w:t>
      </w:r>
    </w:p>
    <w:p>
      <w:pPr>
        <w:spacing w:after="0" w:line="89" w:lineRule="exact"/>
        <w:rPr>
          <w:sz w:val="20"/>
          <w:szCs w:val="20"/>
          <w:color w:val="auto"/>
        </w:rPr>
      </w:pPr>
    </w:p>
    <w:p>
      <w:pPr>
        <w:ind w:left="1460" w:right="339" w:firstLine="335"/>
        <w:spacing w:after="0" w:line="249" w:lineRule="auto"/>
        <w:rPr>
          <w:sz w:val="20"/>
          <w:szCs w:val="20"/>
          <w:color w:val="auto"/>
        </w:rPr>
      </w:pPr>
      <w:r>
        <w:rPr>
          <w:rFonts w:ascii="Times New Roman" w:cs="Times New Roman" w:eastAsia="Times New Roman" w:hAnsi="Times New Roman"/>
          <w:sz w:val="14"/>
          <w:szCs w:val="14"/>
          <w:color w:val="auto"/>
        </w:rPr>
        <w:t>In connection with the Merger Agreement, Legacy Q32 entered into a subscription agreement in November 2023, or the Subscription Agreement, with certain investors to consummate their purchase of shares of Legacy Q32’s common stock for an aggregate purchase price of $42.0 million, or the Pre-Closing Financing. Pursuant to the Subscription Agreement, on March 25, 2024, we entered into a registration rights agreement, or the 2024 Registration Rights Agreement, with the investors in the Pre-Closing Financing. Under the 2024 Registration Rights Agreement, among other things, we agreed to register for resale certain shares of our common stock held by such investors from time to time, including shares of our common stock issued in the Merger in exchange for the shares of Legacy Q32 common stock issued in the Pre-Closing Financing.</w:t>
      </w:r>
    </w:p>
    <w:p>
      <w:pPr>
        <w:spacing w:after="0" w:line="147" w:lineRule="exact"/>
        <w:rPr>
          <w:sz w:val="20"/>
          <w:szCs w:val="20"/>
          <w:color w:val="auto"/>
        </w:rPr>
      </w:pPr>
    </w:p>
    <w:p>
      <w:pPr>
        <w:ind w:left="1460" w:right="399" w:firstLine="335"/>
        <w:spacing w:after="0" w:line="270" w:lineRule="auto"/>
        <w:rPr>
          <w:sz w:val="20"/>
          <w:szCs w:val="20"/>
          <w:color w:val="auto"/>
        </w:rPr>
      </w:pPr>
      <w:r>
        <w:rPr>
          <w:rFonts w:ascii="Times New Roman" w:cs="Times New Roman" w:eastAsia="Times New Roman" w:hAnsi="Times New Roman"/>
          <w:sz w:val="13"/>
          <w:szCs w:val="13"/>
          <w:color w:val="auto"/>
        </w:rPr>
        <w:t>Pursuant to the 2024 Registration Rights Agreement, we are obligated to prepare and file a shelf registration statement covering the resale of covered shares of our common stock within forty-five (45) calendar days following the closing of the Merger, subject to certain exceptions, pursuant to Rule 415 of the Securities Act. We also agreed to use our reasonable best efforts to keep such registration statement continuously effective under the Securities Act until the earlier of the date that all registrable securities covered by such registration statement (a) have been sold, thereunder or pursuant to Rule 144 of the Securities Act, or Rule 144, or (b) may be sold without volume or manner-of-sale restrictions pursuant to Rule 144 and without the requirement for us to be in compliance with the current public information requirement under Rule 144. The 2024 Registration Rights Agreement also provides that we will pay certain expenses of the securityholders and indemnify the applicable securityholders against certain liabilities.</w:t>
      </w:r>
    </w:p>
    <w:p>
      <w:pPr>
        <w:spacing w:after="0" w:line="2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i w:val="1"/>
          <w:iCs w:val="1"/>
          <w:color w:val="auto"/>
        </w:rPr>
        <w:t>2026 Registration Rights Agreement</w:t>
      </w:r>
    </w:p>
    <w:p>
      <w:pPr>
        <w:spacing w:after="0" w:line="89" w:lineRule="exact"/>
        <w:rPr>
          <w:sz w:val="20"/>
          <w:szCs w:val="20"/>
          <w:color w:val="auto"/>
        </w:rPr>
      </w:pPr>
    </w:p>
    <w:p>
      <w:pPr>
        <w:ind w:left="1460" w:right="339" w:firstLine="335"/>
        <w:spacing w:after="0" w:line="265" w:lineRule="auto"/>
        <w:rPr>
          <w:sz w:val="20"/>
          <w:szCs w:val="20"/>
          <w:color w:val="auto"/>
        </w:rPr>
      </w:pPr>
      <w:r>
        <w:rPr>
          <w:rFonts w:ascii="Times New Roman" w:cs="Times New Roman" w:eastAsia="Times New Roman" w:hAnsi="Times New Roman"/>
          <w:sz w:val="13"/>
          <w:szCs w:val="13"/>
          <w:color w:val="auto"/>
        </w:rPr>
        <w:t>On May 26, 2026, we entered into a securities purchase agreement with selected investors to sell shares of common stock and pre-funded warrants to purchase shares of common stock for an aggregate purchase price of approximately $55 million, or the Offering. In connection with the Offering, we entered into a registration rights agreement with each of such selected investors, or the 2026 Registration Rights Agreement, pursuant to which we are required to prepare and file a registration statement with the SEC under the Securities Act, covering the resale of the shares such investors purchased in the Offering and the shares underlying the pre-funded warrants such investors purchased in the Offering. We are required to file such registration statement with the SEC within fifty (50) days of the closing date of the Offering and is required to have such registration statement declared effective by the SEC in accordance with the terms of the Registration Rights Agreement. We also agreed to use our reasonable best efforts to keep such registration statement continuously effective under the Securities Act until the earlier of the date that all registrable securities covered by such registration statement</w:t>
      </w:r>
    </w:p>
    <w:p>
      <w:pPr>
        <w:spacing w:after="0" w:line="4" w:lineRule="exact"/>
        <w:rPr>
          <w:sz w:val="20"/>
          <w:szCs w:val="20"/>
          <w:color w:val="auto"/>
        </w:rPr>
      </w:pPr>
    </w:p>
    <w:p>
      <w:pPr>
        <w:jc w:val="both"/>
        <w:ind w:left="1460" w:right="379" w:hanging="1"/>
        <w:spacing w:after="0" w:line="275" w:lineRule="auto"/>
        <w:tabs>
          <w:tab w:leader="none" w:pos="1646"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been sold, thereunder, or (b) may be sold without registration and without volume or manner-of-sale restrictions pursuant to Rule 144 and without the requirement for us to be in compliance with the current public information requirement under Rule 144. The 2026 Registration Rights Agreement also provides that we will pay certain expenses of the securityholders and indemnify the applicable securityholders against certain liabilities.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79"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Pre-Funded Warrants</w:t>
      </w:r>
    </w:p>
    <w:p>
      <w:pPr>
        <w:spacing w:after="0" w:line="89" w:lineRule="exact"/>
        <w:rPr>
          <w:sz w:val="20"/>
          <w:szCs w:val="20"/>
          <w:color w:val="auto"/>
        </w:rPr>
      </w:pPr>
    </w:p>
    <w:p>
      <w:pPr>
        <w:ind w:left="1460" w:right="499" w:firstLine="335"/>
        <w:spacing w:after="0" w:line="250" w:lineRule="auto"/>
        <w:rPr>
          <w:sz w:val="20"/>
          <w:szCs w:val="20"/>
          <w:color w:val="auto"/>
        </w:rPr>
      </w:pPr>
      <w:r>
        <w:rPr>
          <w:rFonts w:ascii="Times New Roman" w:cs="Times New Roman" w:eastAsia="Times New Roman" w:hAnsi="Times New Roman"/>
          <w:sz w:val="14"/>
          <w:szCs w:val="14"/>
          <w:color w:val="auto"/>
        </w:rPr>
        <w:t>As of March 1, 2026, we had 1,025,654 shares of common stock issuable upon the exercise of pre-funded warrants and each of such pre-funded warrants has an initial exercise price per share equal to $0.0001. The pre-funded warrants are immediately exercisable upon issuance and may be exercised at any time until they are exercised in full. The exercise price and number of shares of common stock issuable upon exercise is subject to appropriate adjustment in the event of stock dividends and distributions, stock splits, stock combinations, reclassification, reorganizations or similar events affecting our common stock and the exercise price.</w:t>
      </w:r>
    </w:p>
    <w:p>
      <w:pPr>
        <w:spacing w:after="0" w:line="146" w:lineRule="exact"/>
        <w:rPr>
          <w:sz w:val="20"/>
          <w:szCs w:val="20"/>
          <w:color w:val="auto"/>
        </w:rPr>
      </w:pPr>
    </w:p>
    <w:p>
      <w:pPr>
        <w:ind w:left="1460" w:right="499" w:firstLine="335"/>
        <w:spacing w:after="0" w:line="250" w:lineRule="auto"/>
        <w:rPr>
          <w:sz w:val="20"/>
          <w:szCs w:val="20"/>
          <w:color w:val="auto"/>
        </w:rPr>
      </w:pPr>
      <w:r>
        <w:rPr>
          <w:rFonts w:ascii="Times New Roman" w:cs="Times New Roman" w:eastAsia="Times New Roman" w:hAnsi="Times New Roman"/>
          <w:sz w:val="14"/>
          <w:szCs w:val="14"/>
          <w:color w:val="auto"/>
        </w:rPr>
        <w:t>A holder of the pre-funded warrants does not have the right to exercise any portion of the pre-funded warrants if the holder (together with its affiliates) would beneficially own in excess of 9.99% of the number of our shares of common stock outstanding immediately after giving effect to the exercise, as such percentage ownership is determined in accordance with the terms of the pre-funded warrants. However, any holder may increase or decrease such percentage, but in no event may such percentage be increased to more than 9.99%, provided that any increase will not be effective until the 61st day after such election.</w:t>
      </w:r>
    </w:p>
    <w:p>
      <w:pPr>
        <w:spacing w:after="0" w:line="146" w:lineRule="exact"/>
        <w:rPr>
          <w:sz w:val="20"/>
          <w:szCs w:val="20"/>
          <w:color w:val="auto"/>
        </w:rPr>
      </w:pPr>
    </w:p>
    <w:p>
      <w:pPr>
        <w:ind w:left="1460" w:right="419" w:firstLine="335"/>
        <w:spacing w:after="0" w:line="249" w:lineRule="auto"/>
        <w:rPr>
          <w:sz w:val="20"/>
          <w:szCs w:val="20"/>
          <w:color w:val="auto"/>
        </w:rPr>
      </w:pPr>
      <w:r>
        <w:rPr>
          <w:rFonts w:ascii="Times New Roman" w:cs="Times New Roman" w:eastAsia="Times New Roman" w:hAnsi="Times New Roman"/>
          <w:sz w:val="14"/>
          <w:szCs w:val="14"/>
          <w:color w:val="auto"/>
        </w:rPr>
        <w:t>The pre-funded warrants are exercisable, at the option of the holder, in whole or in part by delivering to us a duly executed exercise notice and, at any time a registration statement registering the issuance of shares of common stock underlying the pre-funded warrants under the securities act is effective and available for the issuance of such shares, or an exemption from registration under the securities act is available for the issuance of such shares, by payment in full in immediately available funds for the number of shares of common stock purchased upon such exercise. The pre-funded warrants may also be exercised, in whole or in part, at such time by means of a cashless exercise, in which case the holder would receive upon such exercise the net number of shares of common stock determined according to the formula set forth in the pre-funded warrant.</w:t>
      </w:r>
    </w:p>
    <w:p>
      <w:pPr>
        <w:spacing w:after="0" w:line="147" w:lineRule="exact"/>
        <w:rPr>
          <w:sz w:val="20"/>
          <w:szCs w:val="20"/>
          <w:color w:val="auto"/>
        </w:rPr>
      </w:pPr>
    </w:p>
    <w:p>
      <w:pPr>
        <w:ind w:left="1460" w:right="379" w:firstLine="335"/>
        <w:spacing w:after="0" w:line="255" w:lineRule="auto"/>
        <w:rPr>
          <w:sz w:val="20"/>
          <w:szCs w:val="20"/>
          <w:color w:val="auto"/>
        </w:rPr>
      </w:pPr>
      <w:r>
        <w:rPr>
          <w:rFonts w:ascii="Times New Roman" w:cs="Times New Roman" w:eastAsia="Times New Roman" w:hAnsi="Times New Roman"/>
          <w:sz w:val="14"/>
          <w:szCs w:val="14"/>
          <w:color w:val="auto"/>
        </w:rPr>
        <w:t>Except as otherwise provided in the pre-funded warrants or by virtue of such holder’s ownership of our common stock, the holder of a pre-funded warrant does not have the rights or privileges of a holder of our common stock, including any voting rights or rights to receive dividends, until the holder exercises the pre-funded warrant.</w:t>
      </w:r>
    </w:p>
    <w:p>
      <w:pPr>
        <w:spacing w:after="0" w:line="143" w:lineRule="exact"/>
        <w:rPr>
          <w:sz w:val="20"/>
          <w:szCs w:val="20"/>
          <w:color w:val="auto"/>
        </w:rPr>
      </w:pPr>
    </w:p>
    <w:p>
      <w:pPr>
        <w:ind w:left="1460" w:right="639" w:firstLine="335"/>
        <w:spacing w:after="0" w:line="266" w:lineRule="auto"/>
        <w:rPr>
          <w:sz w:val="20"/>
          <w:szCs w:val="20"/>
          <w:color w:val="auto"/>
        </w:rPr>
      </w:pPr>
      <w:r>
        <w:rPr>
          <w:rFonts w:ascii="Times New Roman" w:cs="Times New Roman" w:eastAsia="Times New Roman" w:hAnsi="Times New Roman"/>
          <w:sz w:val="14"/>
          <w:szCs w:val="14"/>
          <w:color w:val="auto"/>
        </w:rPr>
        <w:t>There is no established trading market for the pre-funded warrants and we do not expect a market to develop. In addition, we do not intend to apply for the listing of the pre-funded warrants on any national securities exchange or other trading market.</w:t>
      </w:r>
    </w:p>
    <w:p>
      <w:pPr>
        <w:spacing w:after="0" w:line="2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Anti-Takeover Effects of Delaware Law and Our Certificate of Incorporation and Bylaws</w:t>
      </w:r>
    </w:p>
    <w:p>
      <w:pPr>
        <w:spacing w:after="0" w:line="89" w:lineRule="exact"/>
        <w:rPr>
          <w:sz w:val="20"/>
          <w:szCs w:val="20"/>
          <w:color w:val="auto"/>
        </w:rPr>
      </w:pPr>
    </w:p>
    <w:p>
      <w:pPr>
        <w:ind w:left="1460" w:right="399" w:firstLine="335"/>
        <w:spacing w:after="0" w:line="250" w:lineRule="auto"/>
        <w:rPr>
          <w:sz w:val="20"/>
          <w:szCs w:val="20"/>
          <w:color w:val="auto"/>
        </w:rPr>
      </w:pPr>
      <w:r>
        <w:rPr>
          <w:rFonts w:ascii="Times New Roman" w:cs="Times New Roman" w:eastAsia="Times New Roman" w:hAnsi="Times New Roman"/>
          <w:sz w:val="14"/>
          <w:szCs w:val="14"/>
          <w:color w:val="auto"/>
        </w:rPr>
        <w:t>Some provisions of the Delaware law, our restated certificate of incorporation, as amended, and amended and restated bylaws could make the following transactions more difficult: an acquisition by means of a tender offer; an acquisition by means of a proxy contest or otherwise; or the removal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46" w:lineRule="exact"/>
        <w:rPr>
          <w:sz w:val="20"/>
          <w:szCs w:val="20"/>
          <w:color w:val="auto"/>
        </w:rPr>
      </w:pPr>
    </w:p>
    <w:p>
      <w:pPr>
        <w:ind w:left="1460" w:right="399" w:firstLine="335"/>
        <w:spacing w:after="0" w:line="277" w:lineRule="auto"/>
        <w:rPr>
          <w:sz w:val="20"/>
          <w:szCs w:val="20"/>
          <w:color w:val="auto"/>
        </w:rPr>
      </w:pPr>
      <w:r>
        <w:rPr>
          <w:rFonts w:ascii="Times New Roman" w:cs="Times New Roman" w:eastAsia="Times New Roman" w:hAnsi="Times New Roman"/>
          <w:sz w:val="13"/>
          <w:szCs w:val="13"/>
          <w:color w:val="auto"/>
        </w:rPr>
        <w:t>These provisions, summarized below, are intended to discourage coercive takeover practices and inadequate takeover bids. These provisions are also designed to encourage persons seeking to acquire control of our company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0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i w:val="1"/>
          <w:iCs w:val="1"/>
          <w:color w:val="auto"/>
        </w:rPr>
        <w:t>Undesignated Preferred Stock</w:t>
      </w:r>
    </w:p>
    <w:p>
      <w:pPr>
        <w:spacing w:after="0" w:line="89" w:lineRule="exact"/>
        <w:rPr>
          <w:sz w:val="20"/>
          <w:szCs w:val="20"/>
          <w:color w:val="auto"/>
        </w:rPr>
      </w:pPr>
    </w:p>
    <w:p>
      <w:pPr>
        <w:ind w:left="1460" w:right="599" w:firstLine="335"/>
        <w:spacing w:after="0" w:line="266" w:lineRule="auto"/>
        <w:rPr>
          <w:sz w:val="20"/>
          <w:szCs w:val="20"/>
          <w:color w:val="auto"/>
        </w:rPr>
      </w:pPr>
      <w:r>
        <w:rPr>
          <w:rFonts w:ascii="Times New Roman" w:cs="Times New Roman" w:eastAsia="Times New Roman" w:hAnsi="Times New Roman"/>
          <w:sz w:val="14"/>
          <w:szCs w:val="14"/>
          <w:color w:val="auto"/>
        </w:rPr>
        <w:t>The ability of our board of directors, without action by the stockholders, to issue up to 10,000,000 shares of undesignated preferred stock with voting or other rights or preferences as designated by our board of directors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79"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1460" w:right="819"/>
        <w:spacing w:after="0" w:line="266" w:lineRule="auto"/>
        <w:rPr>
          <w:sz w:val="20"/>
          <w:szCs w:val="20"/>
          <w:color w:val="auto"/>
        </w:rPr>
      </w:pPr>
      <w:r>
        <w:rPr>
          <w:rFonts w:ascii="Times New Roman" w:cs="Times New Roman" w:eastAsia="Times New Roman" w:hAnsi="Times New Roman"/>
          <w:sz w:val="14"/>
          <w:szCs w:val="14"/>
          <w:color w:val="auto"/>
        </w:rPr>
        <w:t>could impede the success of any attempt to change control of it. These and other provisions may have the effect of deferring hostile takeovers or delaying changes in control or management.</w:t>
      </w:r>
    </w:p>
    <w:p>
      <w:pPr>
        <w:spacing w:after="0" w:line="2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i w:val="1"/>
          <w:iCs w:val="1"/>
          <w:color w:val="auto"/>
        </w:rPr>
        <w:t>Stockholder Meetings</w:t>
      </w:r>
    </w:p>
    <w:p>
      <w:pPr>
        <w:spacing w:after="0" w:line="89" w:lineRule="exact"/>
        <w:rPr>
          <w:sz w:val="20"/>
          <w:szCs w:val="20"/>
          <w:color w:val="auto"/>
        </w:rPr>
      </w:pPr>
    </w:p>
    <w:p>
      <w:pPr>
        <w:ind w:left="1460" w:right="379" w:firstLine="335"/>
        <w:spacing w:after="0" w:line="266" w:lineRule="auto"/>
        <w:rPr>
          <w:sz w:val="20"/>
          <w:szCs w:val="20"/>
          <w:color w:val="auto"/>
        </w:rPr>
      </w:pPr>
      <w:r>
        <w:rPr>
          <w:rFonts w:ascii="Times New Roman" w:cs="Times New Roman" w:eastAsia="Times New Roman" w:hAnsi="Times New Roman"/>
          <w:sz w:val="14"/>
          <w:szCs w:val="14"/>
          <w:color w:val="auto"/>
        </w:rPr>
        <w:t>Our amended and restated bylaws provide that a special meeting of stockholders may be called only by our chairman of the board, chief executive officer or president (in the absence of a chief executive officer), or by a resolution adopted by a majority of our board of directors.</w:t>
      </w:r>
    </w:p>
    <w:p>
      <w:pPr>
        <w:spacing w:after="0" w:line="2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i w:val="1"/>
          <w:iCs w:val="1"/>
          <w:color w:val="auto"/>
        </w:rPr>
        <w:t>Requirements for Advance Notification of Stockholder Nominations and Proposals</w:t>
      </w:r>
    </w:p>
    <w:p>
      <w:pPr>
        <w:spacing w:after="0" w:line="89" w:lineRule="exact"/>
        <w:rPr>
          <w:sz w:val="20"/>
          <w:szCs w:val="20"/>
          <w:color w:val="auto"/>
        </w:rPr>
      </w:pPr>
    </w:p>
    <w:p>
      <w:pPr>
        <w:ind w:left="1460" w:right="539" w:firstLine="335"/>
        <w:spacing w:after="0" w:line="255" w:lineRule="auto"/>
        <w:rPr>
          <w:sz w:val="20"/>
          <w:szCs w:val="20"/>
          <w:color w:val="auto"/>
        </w:rPr>
      </w:pPr>
      <w:r>
        <w:rPr>
          <w:rFonts w:ascii="Times New Roman" w:cs="Times New Roman" w:eastAsia="Times New Roman" w:hAnsi="Times New Roman"/>
          <w:sz w:val="14"/>
          <w:szCs w:val="14"/>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i w:val="1"/>
          <w:iCs w:val="1"/>
          <w:color w:val="auto"/>
        </w:rPr>
        <w:t>Elimination of Stockholder Action by Written Consent</w:t>
      </w:r>
    </w:p>
    <w:p>
      <w:pPr>
        <w:spacing w:after="0" w:line="8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Our restated certificate of incorporation, as amended, eliminates the right of stockholders to act by written consent without a meeting.</w:t>
      </w:r>
    </w:p>
    <w:p>
      <w:pPr>
        <w:spacing w:after="0" w:line="24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i w:val="1"/>
          <w:iCs w:val="1"/>
          <w:color w:val="auto"/>
        </w:rPr>
        <w:t>Staggered Board</w:t>
      </w:r>
    </w:p>
    <w:p>
      <w:pPr>
        <w:spacing w:after="0" w:line="89" w:lineRule="exact"/>
        <w:rPr>
          <w:sz w:val="20"/>
          <w:szCs w:val="20"/>
          <w:color w:val="auto"/>
        </w:rPr>
      </w:pPr>
    </w:p>
    <w:p>
      <w:pPr>
        <w:ind w:left="1460" w:right="479" w:firstLine="335"/>
        <w:spacing w:after="0" w:line="284" w:lineRule="auto"/>
        <w:rPr>
          <w:sz w:val="20"/>
          <w:szCs w:val="20"/>
          <w:color w:val="auto"/>
        </w:rPr>
      </w:pPr>
      <w:r>
        <w:rPr>
          <w:rFonts w:ascii="Times New Roman" w:cs="Times New Roman" w:eastAsia="Times New Roman" w:hAnsi="Times New Roman"/>
          <w:sz w:val="13"/>
          <w:szCs w:val="13"/>
          <w:color w:val="auto"/>
        </w:rPr>
        <w:t>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our company, because it generally makes it more difficult for stockholders to replace a majority of the directors.</w:t>
      </w:r>
    </w:p>
    <w:p>
      <w:pPr>
        <w:spacing w:after="0" w:line="20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i w:val="1"/>
          <w:iCs w:val="1"/>
          <w:color w:val="auto"/>
        </w:rPr>
        <w:t>Removal of Directors</w:t>
      </w:r>
    </w:p>
    <w:p>
      <w:pPr>
        <w:spacing w:after="0" w:line="89" w:lineRule="exact"/>
        <w:rPr>
          <w:sz w:val="20"/>
          <w:szCs w:val="20"/>
          <w:color w:val="auto"/>
        </w:rPr>
      </w:pPr>
    </w:p>
    <w:p>
      <w:pPr>
        <w:ind w:left="1460" w:right="379" w:firstLine="335"/>
        <w:spacing w:after="0" w:line="249" w:lineRule="auto"/>
        <w:rPr>
          <w:sz w:val="20"/>
          <w:szCs w:val="20"/>
          <w:color w:val="auto"/>
        </w:rPr>
      </w:pPr>
      <w:r>
        <w:rPr>
          <w:rFonts w:ascii="Times New Roman" w:cs="Times New Roman" w:eastAsia="Times New Roman" w:hAnsi="Times New Roman"/>
          <w:sz w:val="14"/>
          <w:szCs w:val="14"/>
          <w:color w:val="auto"/>
        </w:rPr>
        <w:t>Our restated certificate of incorporation, as amended, and amended and restated bylaws provide that, subject to the rights of holders of any series of preferred stock, no member of our board of directors may be removed from office by our stockholders except for cause and, in addition to any other vote required by law, upon the approval of the holders of at least two-thirds in voting power of the outstanding shares of capital stock entitled to vote in the election of directors. Subject to the rights of holders of any series of preferred stock, any vacancy on our board of directors, including a vacancy resulting from an enlargement of our board of directors, may be filled only by vote of a majority of directors then in office, unless our board of directors determines by resolution that any such vacancy or newly created directorship shall be filled by our stockholders.</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i w:val="1"/>
          <w:iCs w:val="1"/>
          <w:color w:val="auto"/>
        </w:rPr>
        <w:t>Stockholders Not Entitled to Cumulative Voting</w:t>
      </w:r>
    </w:p>
    <w:p>
      <w:pPr>
        <w:spacing w:after="0" w:line="89" w:lineRule="exact"/>
        <w:rPr>
          <w:sz w:val="20"/>
          <w:szCs w:val="20"/>
          <w:color w:val="auto"/>
        </w:rPr>
      </w:pPr>
    </w:p>
    <w:p>
      <w:pPr>
        <w:ind w:left="1460" w:right="619" w:firstLine="335"/>
        <w:spacing w:after="0" w:line="255" w:lineRule="auto"/>
        <w:rPr>
          <w:sz w:val="20"/>
          <w:szCs w:val="20"/>
          <w:color w:val="auto"/>
        </w:rPr>
      </w:pPr>
      <w:r>
        <w:rPr>
          <w:rFonts w:ascii="Times New Roman" w:cs="Times New Roman" w:eastAsia="Times New Roman" w:hAnsi="Times New Roman"/>
          <w:sz w:val="14"/>
          <w:szCs w:val="14"/>
          <w:color w:val="auto"/>
        </w:rPr>
        <w:t>Our restated certificate of incorporation, as amended,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i w:val="1"/>
          <w:iCs w:val="1"/>
          <w:color w:val="auto"/>
        </w:rPr>
        <w:t>Delaware Anti-Takeover Statute</w:t>
      </w:r>
    </w:p>
    <w:p>
      <w:pPr>
        <w:spacing w:after="0" w:line="89" w:lineRule="exact"/>
        <w:rPr>
          <w:sz w:val="20"/>
          <w:szCs w:val="20"/>
          <w:color w:val="auto"/>
        </w:rPr>
      </w:pPr>
    </w:p>
    <w:p>
      <w:pPr>
        <w:ind w:left="1460" w:right="579" w:firstLine="335"/>
        <w:spacing w:after="0" w:line="252" w:lineRule="auto"/>
        <w:rPr>
          <w:sz w:val="20"/>
          <w:szCs w:val="20"/>
          <w:color w:val="auto"/>
        </w:rPr>
      </w:pPr>
      <w:r>
        <w:rPr>
          <w:rFonts w:ascii="Times New Roman" w:cs="Times New Roman" w:eastAsia="Times New Roman" w:hAnsi="Times New Roman"/>
          <w:sz w:val="14"/>
          <w:szCs w:val="14"/>
          <w:color w:val="auto"/>
        </w:rPr>
        <w:t>We are subject to Section 203 of the General Corporation Law of the State of Delaware,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79"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1460" w:right="439"/>
        <w:spacing w:after="0" w:line="250" w:lineRule="auto"/>
        <w:rPr>
          <w:sz w:val="20"/>
          <w:szCs w:val="20"/>
          <w:color w:val="auto"/>
        </w:rPr>
      </w:pPr>
      <w:r>
        <w:rPr>
          <w:rFonts w:ascii="Times New Roman" w:cs="Times New Roman" w:eastAsia="Times New Roman" w:hAnsi="Times New Roman"/>
          <w:sz w:val="14"/>
          <w:szCs w:val="14"/>
          <w:color w:val="auto"/>
        </w:rPr>
        <w:t>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2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i w:val="1"/>
          <w:iCs w:val="1"/>
          <w:color w:val="auto"/>
        </w:rPr>
        <w:t>Choice of Forum</w:t>
      </w:r>
    </w:p>
    <w:p>
      <w:pPr>
        <w:spacing w:after="0" w:line="89" w:lineRule="exact"/>
        <w:rPr>
          <w:sz w:val="20"/>
          <w:szCs w:val="20"/>
          <w:color w:val="auto"/>
        </w:rPr>
      </w:pPr>
    </w:p>
    <w:p>
      <w:pPr>
        <w:ind w:left="1460" w:right="359" w:firstLine="335"/>
        <w:spacing w:after="0" w:line="247" w:lineRule="auto"/>
        <w:rPr>
          <w:sz w:val="20"/>
          <w:szCs w:val="20"/>
          <w:color w:val="auto"/>
        </w:rPr>
      </w:pPr>
      <w:r>
        <w:rPr>
          <w:rFonts w:ascii="Times New Roman" w:cs="Times New Roman" w:eastAsia="Times New Roman" w:hAnsi="Times New Roman"/>
          <w:sz w:val="14"/>
          <w:szCs w:val="14"/>
          <w:color w:val="auto"/>
        </w:rPr>
        <w:t>Our restated certificate of incorporation, as amended, provides that, unless we consent in writing to an alternative forum,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it arising pursuant to any provision of the General Corporation Law of the State of Delaware or our restated certificate of incorporation, as amended, or amended and restated bylaws; or (4) any action asserting a claim governed by the internal affairs doctrine. Our restated certificate of incorporation, as amended,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restated certificate of incorporation, as amended, is inapplicable or unenforceable if it is challenged in a proceeding or otherwise.</w:t>
      </w:r>
    </w:p>
    <w:p>
      <w:pPr>
        <w:spacing w:after="0" w:line="150" w:lineRule="exact"/>
        <w:rPr>
          <w:sz w:val="20"/>
          <w:szCs w:val="20"/>
          <w:color w:val="auto"/>
        </w:rPr>
      </w:pPr>
    </w:p>
    <w:p>
      <w:pPr>
        <w:ind w:left="1460" w:right="599" w:firstLine="335"/>
        <w:spacing w:after="0" w:line="252" w:lineRule="auto"/>
        <w:rPr>
          <w:sz w:val="20"/>
          <w:szCs w:val="20"/>
          <w:color w:val="auto"/>
        </w:rPr>
      </w:pPr>
      <w:r>
        <w:rPr>
          <w:rFonts w:ascii="Times New Roman" w:cs="Times New Roman" w:eastAsia="Times New Roman" w:hAnsi="Times New Roman"/>
          <w:sz w:val="14"/>
          <w:szCs w:val="14"/>
          <w:color w:val="auto"/>
        </w:rPr>
        <w:t>In addition, our amended and restated bylaws provide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and any person or entity purchasing or otherwise acquiring or holding any interest in our shares of capital stock shall be deemed to have notice of and consented to this choice of forum provision.</w:t>
      </w:r>
    </w:p>
    <w:p>
      <w:pPr>
        <w:spacing w:after="0" w:line="2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i w:val="1"/>
          <w:iCs w:val="1"/>
          <w:color w:val="auto"/>
        </w:rPr>
        <w:t>Amendment of Charter Provisions</w:t>
      </w:r>
    </w:p>
    <w:p>
      <w:pPr>
        <w:spacing w:after="0" w:line="89" w:lineRule="exact"/>
        <w:rPr>
          <w:sz w:val="20"/>
          <w:szCs w:val="20"/>
          <w:color w:val="auto"/>
        </w:rPr>
      </w:pPr>
    </w:p>
    <w:p>
      <w:pPr>
        <w:jc w:val="both"/>
        <w:ind w:left="1460" w:right="359" w:firstLine="335"/>
        <w:spacing w:after="0" w:line="255" w:lineRule="auto"/>
        <w:rPr>
          <w:sz w:val="20"/>
          <w:szCs w:val="20"/>
          <w:color w:val="auto"/>
        </w:rPr>
      </w:pPr>
      <w:r>
        <w:rPr>
          <w:rFonts w:ascii="Times New Roman" w:cs="Times New Roman" w:eastAsia="Times New Roman" w:hAnsi="Times New Roman"/>
          <w:sz w:val="14"/>
          <w:szCs w:val="14"/>
          <w:color w:val="auto"/>
        </w:rPr>
        <w:t>The amendment of any of the above provisions, except for the provision making it possible for our board of directors to issue preferred stock and the provision prohibiting cumulative voting, would require approval by holders of at least two-thirds in voting power of the outstanding shares of capital stock entitled to vote thereon.</w:t>
      </w:r>
    </w:p>
    <w:p>
      <w:pPr>
        <w:spacing w:after="0" w:line="143" w:lineRule="exact"/>
        <w:rPr>
          <w:sz w:val="20"/>
          <w:szCs w:val="20"/>
          <w:color w:val="auto"/>
        </w:rPr>
      </w:pPr>
    </w:p>
    <w:p>
      <w:pPr>
        <w:ind w:left="1460" w:right="359" w:firstLine="335"/>
        <w:spacing w:after="0" w:line="250" w:lineRule="auto"/>
        <w:rPr>
          <w:sz w:val="20"/>
          <w:szCs w:val="20"/>
          <w:color w:val="auto"/>
        </w:rPr>
      </w:pPr>
      <w:r>
        <w:rPr>
          <w:rFonts w:ascii="Times New Roman" w:cs="Times New Roman" w:eastAsia="Times New Roman" w:hAnsi="Times New Roman"/>
          <w:sz w:val="14"/>
          <w:szCs w:val="14"/>
          <w:color w:val="auto"/>
        </w:rPr>
        <w:t>The provisions of Delaware law, our restated certificate of incorporation, as amended, and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79"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71" w:lineRule="exact"/>
        <w:rPr>
          <w:sz w:val="20"/>
          <w:szCs w:val="20"/>
          <w:color w:val="auto"/>
        </w:rPr>
      </w:pPr>
    </w:p>
    <w:p>
      <w:pPr>
        <w:ind w:left="1460" w:right="399" w:firstLine="335"/>
        <w:spacing w:after="0" w:line="250"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that we include in any applicable prospectus supplements, summarizes the material terms and provisions of the debt securities that we may offer under this prospectus. While the terms we have summarized below will apply generally to any debt securities that we may offer under this prospectus, we will describe the particular terms of any debt securities in more detail in the applicable prospectus supplement. The terms of any debt securities and related guarantees offered under a prospectus supplement may differ from the terms described below.</w:t>
      </w:r>
    </w:p>
    <w:p>
      <w:pPr>
        <w:spacing w:after="0" w:line="146" w:lineRule="exact"/>
        <w:rPr>
          <w:sz w:val="20"/>
          <w:szCs w:val="20"/>
          <w:color w:val="auto"/>
        </w:rPr>
      </w:pPr>
    </w:p>
    <w:p>
      <w:pPr>
        <w:ind w:left="1460" w:right="559" w:firstLine="335"/>
        <w:spacing w:after="0" w:line="252" w:lineRule="auto"/>
        <w:rPr>
          <w:sz w:val="20"/>
          <w:szCs w:val="20"/>
          <w:color w:val="auto"/>
        </w:rPr>
      </w:pPr>
      <w:r>
        <w:rPr>
          <w:rFonts w:ascii="Times New Roman" w:cs="Times New Roman" w:eastAsia="Times New Roman" w:hAnsi="Times New Roman"/>
          <w:sz w:val="14"/>
          <w:szCs w:val="14"/>
          <w:color w:val="auto"/>
        </w:rPr>
        <w:t>We may issue senior debt securities under an indenture, or the senior debt indenture, to be entered into between us and the trustee named in the senior debt indenture. We may issue subordinated debt securities under an indenture, or the subordinated debt indenture, and together with the senior debt indenture, the indentures, and each individually, an indenture, to be entered into between us and the trustee named in the subordinated debt indenture.</w:t>
      </w:r>
    </w:p>
    <w:p>
      <w:pPr>
        <w:spacing w:after="0" w:line="145" w:lineRule="exact"/>
        <w:rPr>
          <w:sz w:val="20"/>
          <w:szCs w:val="20"/>
          <w:color w:val="auto"/>
        </w:rPr>
      </w:pPr>
    </w:p>
    <w:p>
      <w:pPr>
        <w:ind w:left="1460" w:right="559" w:firstLine="335"/>
        <w:spacing w:after="0" w:line="250" w:lineRule="auto"/>
        <w:rPr>
          <w:sz w:val="20"/>
          <w:szCs w:val="20"/>
          <w:color w:val="auto"/>
        </w:rPr>
      </w:pPr>
      <w:r>
        <w:rPr>
          <w:rFonts w:ascii="Times New Roman" w:cs="Times New Roman" w:eastAsia="Times New Roman" w:hAnsi="Times New Roman"/>
          <w:sz w:val="14"/>
          <w:szCs w:val="14"/>
          <w:color w:val="auto"/>
        </w:rPr>
        <w:t>We have summarized certain terms and provisions of the indentures. The summary is not complete. Forms of the indentures have been filed as exhibits to the registration statement of which this prospectus forms a part, which we have filed with the SEC. You should read the indentures for the provisions that may be important to you. The indentures are subject to and governed by the Trust Indenture Act of 1939, as amended, or the Trust Indenture Act. The senior debt indenture and the subordinated debt indenture are substantially identical, except for the provisions relating to subordination and covenants. See “—Subordinated Debt.”</w:t>
      </w:r>
    </w:p>
    <w:p>
      <w:pPr>
        <w:spacing w:after="0" w:line="146" w:lineRule="exact"/>
        <w:rPr>
          <w:sz w:val="20"/>
          <w:szCs w:val="20"/>
          <w:color w:val="auto"/>
        </w:rPr>
      </w:pPr>
    </w:p>
    <w:p>
      <w:pPr>
        <w:ind w:left="1460" w:right="339" w:firstLine="335"/>
        <w:spacing w:after="0" w:line="266" w:lineRule="auto"/>
        <w:rPr>
          <w:sz w:val="20"/>
          <w:szCs w:val="20"/>
          <w:color w:val="auto"/>
        </w:rPr>
      </w:pPr>
      <w:r>
        <w:rPr>
          <w:rFonts w:ascii="Times New Roman" w:cs="Times New Roman" w:eastAsia="Times New Roman" w:hAnsi="Times New Roman"/>
          <w:sz w:val="14"/>
          <w:szCs w:val="14"/>
          <w:color w:val="auto"/>
        </w:rPr>
        <w:t>We may issue debt securities up to an aggregate principal amount as we may authorize from time to time. The prospectus supplement will describe the terms of any debt securities being offered, including:</w:t>
      </w:r>
    </w:p>
    <w:p>
      <w:pPr>
        <w:spacing w:after="0" w:line="64" w:lineRule="exact"/>
        <w:rPr>
          <w:sz w:val="20"/>
          <w:szCs w:val="20"/>
          <w:color w:val="auto"/>
        </w:rPr>
      </w:pPr>
    </w:p>
    <w:p>
      <w:pPr>
        <w:ind w:left="2200" w:hanging="331"/>
        <w:spacing w:after="0"/>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classification as senior or subordinated debt securities;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ranking of the specific series of debt securities relative to other outstanding indebtedness, including subsidiaries’ debt;</w:t>
      </w:r>
    </w:p>
    <w:p>
      <w:pPr>
        <w:spacing w:after="0" w:line="95" w:lineRule="exact"/>
        <w:rPr>
          <w:rFonts w:ascii="Times New Roman" w:cs="Times New Roman" w:eastAsia="Times New Roman" w:hAnsi="Times New Roman"/>
          <w:sz w:val="14"/>
          <w:szCs w:val="14"/>
          <w:color w:val="auto"/>
        </w:rPr>
      </w:pPr>
    </w:p>
    <w:p>
      <w:pPr>
        <w:ind w:left="2200" w:right="939" w:hanging="331"/>
        <w:spacing w:after="0" w:line="266" w:lineRule="auto"/>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are subordinated, the aggregate amount of outstanding indebtedness, as of a recent date, that is senior to the subordinated securities, and any limitation on the issuance of additional senior indebtedness;</w:t>
      </w:r>
    </w:p>
    <w:p>
      <w:pPr>
        <w:spacing w:after="0" w:line="63"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aggregate principal amount and authorized denominations;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if any, and the method for calculating the interest rate;</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payment dates and the record dates for the interest payments;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mandatory or optional redemption terms or prepayment, conversion, sinking fund or exchangeability or convertibility provisions;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where we will pay principal and interest;</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denominations of $1,000 or multiples of $1,000, the denominations the debt securities will be issued in;</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the form of global securities or certificates;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provisions, if any, relating to the defeasance of the debt securities;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if other than the currency of the United States, in which principal and interest will be paid;</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United States federal income tax consequences;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premium, if any, will be paid;</w:t>
      </w:r>
    </w:p>
    <w:p>
      <w:pPr>
        <w:spacing w:after="0" w:line="1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79"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2200" w:hanging="331"/>
        <w:spacing w:after="0"/>
        <w:tabs>
          <w:tab w:leader="none" w:pos="2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if any, to defer payment interest and the maximum length of this deferral period;</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listing on a securities exchange;</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public offering price; and</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specific terms, including any additional events of default or covenants.</w:t>
      </w:r>
    </w:p>
    <w:p>
      <w:pPr>
        <w:spacing w:after="0" w:line="24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Senior Debt</w:t>
      </w:r>
    </w:p>
    <w:p>
      <w:pPr>
        <w:spacing w:after="0" w:line="89" w:lineRule="exact"/>
        <w:rPr>
          <w:sz w:val="20"/>
          <w:szCs w:val="20"/>
          <w:color w:val="auto"/>
        </w:rPr>
      </w:pPr>
    </w:p>
    <w:p>
      <w:pPr>
        <w:ind w:left="1460" w:right="459" w:firstLine="335"/>
        <w:spacing w:after="0" w:line="266" w:lineRule="auto"/>
        <w:rPr>
          <w:sz w:val="20"/>
          <w:szCs w:val="20"/>
          <w:color w:val="auto"/>
        </w:rPr>
      </w:pPr>
      <w:r>
        <w:rPr>
          <w:rFonts w:ascii="Times New Roman" w:cs="Times New Roman" w:eastAsia="Times New Roman" w:hAnsi="Times New Roman"/>
          <w:sz w:val="14"/>
          <w:szCs w:val="14"/>
          <w:color w:val="auto"/>
        </w:rPr>
        <w:t xml:space="preserve">We will issue under the senior debt indenture the debt securities that will constitute part of our senior debt. These senior debt securities will rank equally and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all of our other unsecured and unsubordinated debt.</w:t>
      </w:r>
    </w:p>
    <w:p>
      <w:pPr>
        <w:spacing w:after="0" w:line="2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Subordinated Debt</w:t>
      </w:r>
    </w:p>
    <w:p>
      <w:pPr>
        <w:spacing w:after="0" w:line="89" w:lineRule="exact"/>
        <w:rPr>
          <w:sz w:val="20"/>
          <w:szCs w:val="20"/>
          <w:color w:val="auto"/>
        </w:rPr>
      </w:pPr>
    </w:p>
    <w:p>
      <w:pPr>
        <w:ind w:left="1460" w:right="339" w:firstLine="335"/>
        <w:spacing w:after="0" w:line="277" w:lineRule="auto"/>
        <w:rPr>
          <w:sz w:val="20"/>
          <w:szCs w:val="20"/>
          <w:color w:val="auto"/>
        </w:rPr>
      </w:pPr>
      <w:r>
        <w:rPr>
          <w:rFonts w:ascii="Times New Roman" w:cs="Times New Roman" w:eastAsia="Times New Roman" w:hAnsi="Times New Roman"/>
          <w:sz w:val="13"/>
          <w:szCs w:val="13"/>
          <w:color w:val="auto"/>
        </w:rPr>
        <w:t>We will issue under the subordinated debt indenture the debt securities that will constitute part of our subordinated debt. Payment by us of the principal of, premium, if any, and interest on any series of subordinated debt securities issued under the subordinated debt indenture will be subordinated to the extent set forth in an indenture supplemental to the subordinated indenture relating to such series. The specific subordination terms will be set forth in a supplemental indenture to the subordinated debt indenture and described in the prospectus supplement for the relevant series of debt.</w:t>
      </w:r>
    </w:p>
    <w:p>
      <w:pPr>
        <w:spacing w:after="0" w:line="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79"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71" w:lineRule="exact"/>
        <w:rPr>
          <w:sz w:val="20"/>
          <w:szCs w:val="20"/>
          <w:color w:val="auto"/>
        </w:rPr>
      </w:pPr>
    </w:p>
    <w:p>
      <w:pPr>
        <w:ind w:left="1460" w:right="359" w:firstLine="335"/>
        <w:spacing w:after="0" w:line="252"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that we include in any applicable prospectus supplements, summarizes the material terms and provisions of the warrants that we may offer under this prospectus. While the terms we have summarized below will apply generally to any warrants that we may offer under this prospectus, we will describe the particular terms of any warrants in more detail in the applicable prospectus supplement. The terms of any warrants offered under a prospectus supplement may differ from the terms described below.</w:t>
      </w:r>
    </w:p>
    <w:p>
      <w:pPr>
        <w:spacing w:after="0" w:line="145" w:lineRule="exact"/>
        <w:rPr>
          <w:sz w:val="20"/>
          <w:szCs w:val="20"/>
          <w:color w:val="auto"/>
        </w:rPr>
      </w:pPr>
    </w:p>
    <w:p>
      <w:pPr>
        <w:ind w:left="1460" w:right="519" w:firstLine="335"/>
        <w:spacing w:after="0" w:line="252" w:lineRule="auto"/>
        <w:rPr>
          <w:sz w:val="20"/>
          <w:szCs w:val="20"/>
          <w:color w:val="auto"/>
        </w:rPr>
      </w:pPr>
      <w:r>
        <w:rPr>
          <w:rFonts w:ascii="Times New Roman" w:cs="Times New Roman" w:eastAsia="Times New Roman" w:hAnsi="Times New Roman"/>
          <w:sz w:val="14"/>
          <w:szCs w:val="14"/>
          <w:color w:val="auto"/>
        </w:rPr>
        <w:t>We may issue warrants for the purchase of common stock, preferred stock and/or debt securities in one or more series.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14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The applicable prospectus supplement will describe the following terms of any warrants in respect of which this prospectus is being delivered:</w:t>
      </w:r>
    </w:p>
    <w:p>
      <w:pPr>
        <w:spacing w:after="0" w:line="95" w:lineRule="exact"/>
        <w:rPr>
          <w:sz w:val="20"/>
          <w:szCs w:val="20"/>
          <w:color w:val="auto"/>
        </w:rPr>
      </w:pPr>
    </w:p>
    <w:p>
      <w:pPr>
        <w:ind w:left="2200" w:hanging="33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such warrants;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such warrants;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such warrants will be issued;</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 which the price of such warrants will be payable;</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purchasable upon exercise of such warrants;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and the currency or currencies in which the securities purchasable upon exercise of such warrants may be purchased;</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such warrants shall commence and the date on which such right shall expire;</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such warrants which may be exercised at any one time;</w:t>
      </w:r>
    </w:p>
    <w:p>
      <w:pPr>
        <w:spacing w:after="0" w:line="95" w:lineRule="exact"/>
        <w:rPr>
          <w:rFonts w:ascii="Times New Roman" w:cs="Times New Roman" w:eastAsia="Times New Roman" w:hAnsi="Times New Roman"/>
          <w:sz w:val="14"/>
          <w:szCs w:val="14"/>
          <w:color w:val="auto"/>
        </w:rPr>
      </w:pPr>
    </w:p>
    <w:p>
      <w:pPr>
        <w:ind w:left="2200" w:right="419" w:hanging="331"/>
        <w:spacing w:after="0" w:line="266" w:lineRule="auto"/>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securities with which such warrants are issued and the number of such warrants issued with each such security;</w:t>
      </w:r>
    </w:p>
    <w:p>
      <w:pPr>
        <w:spacing w:after="0" w:line="63"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such warrants and the related securities will be separately transferable;</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any material United States federal income tax considerations; and</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such warrants, including terms, procedures and limitations relating to the exchange and exercise of such warrants.</w:t>
      </w:r>
    </w:p>
    <w:p>
      <w:pPr>
        <w:spacing w:after="0" w:line="1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79"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71" w:lineRule="exact"/>
        <w:rPr>
          <w:sz w:val="20"/>
          <w:szCs w:val="20"/>
          <w:color w:val="auto"/>
        </w:rPr>
      </w:pPr>
    </w:p>
    <w:p>
      <w:pPr>
        <w:ind w:left="1460" w:right="419" w:firstLine="335"/>
        <w:spacing w:after="0" w:line="252"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45" w:lineRule="exact"/>
        <w:rPr>
          <w:sz w:val="20"/>
          <w:szCs w:val="20"/>
          <w:color w:val="auto"/>
        </w:rPr>
      </w:pPr>
    </w:p>
    <w:p>
      <w:pPr>
        <w:ind w:left="1460" w:right="479" w:firstLine="335"/>
        <w:spacing w:after="0" w:line="266" w:lineRule="auto"/>
        <w:rPr>
          <w:sz w:val="20"/>
          <w:szCs w:val="20"/>
          <w:color w:val="auto"/>
        </w:rPr>
      </w:pPr>
      <w:r>
        <w:rPr>
          <w:rFonts w:ascii="Times New Roman" w:cs="Times New Roman" w:eastAsia="Times New Roman" w:hAnsi="Times New Roman"/>
          <w:sz w:val="14"/>
          <w:szCs w:val="14"/>
          <w:color w:val="auto"/>
        </w:rPr>
        <w:t>As specified in the applicable prospectus supplement, we may issue units consisting of one or more warrants, debt securities, shares of preferred stock, shares of common stock or any combination of such securities. The applicable supplement will describe:</w:t>
      </w:r>
    </w:p>
    <w:p>
      <w:pPr>
        <w:spacing w:after="0" w:line="64" w:lineRule="exact"/>
        <w:rPr>
          <w:sz w:val="20"/>
          <w:szCs w:val="20"/>
          <w:color w:val="auto"/>
        </w:rPr>
      </w:pPr>
    </w:p>
    <w:p>
      <w:pPr>
        <w:ind w:left="2200" w:right="459" w:hanging="331"/>
        <w:spacing w:after="0" w:line="266" w:lineRule="auto"/>
        <w:tabs>
          <w:tab w:leader="none" w:pos="2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units and of the warrants, debt securities, preferred stock and common stock comprising the units, including whether and under what circumstances the securities comprising the units may be traded separately;</w:t>
      </w:r>
    </w:p>
    <w:p>
      <w:pPr>
        <w:spacing w:after="0" w:line="63"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the terms of any unit agreement governing the units; and</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the provisions for the payment, settlement, transfer or exchange of the units.</w:t>
      </w:r>
    </w:p>
    <w:p>
      <w:pPr>
        <w:spacing w:after="0" w:line="1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79"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TAXATION</w:t>
      </w:r>
    </w:p>
    <w:p>
      <w:pPr>
        <w:spacing w:after="0" w:line="171" w:lineRule="exact"/>
        <w:rPr>
          <w:sz w:val="20"/>
          <w:szCs w:val="20"/>
          <w:color w:val="auto"/>
        </w:rPr>
      </w:pPr>
    </w:p>
    <w:p>
      <w:pPr>
        <w:ind w:left="1460" w:right="339" w:firstLine="335"/>
        <w:spacing w:after="0" w:line="266" w:lineRule="auto"/>
        <w:rPr>
          <w:sz w:val="20"/>
          <w:szCs w:val="20"/>
          <w:color w:val="auto"/>
        </w:rPr>
      </w:pPr>
      <w:r>
        <w:rPr>
          <w:rFonts w:ascii="Times New Roman" w:cs="Times New Roman" w:eastAsia="Times New Roman" w:hAnsi="Times New Roman"/>
          <w:sz w:val="14"/>
          <w:szCs w:val="14"/>
          <w:color w:val="auto"/>
        </w:rPr>
        <w:t>The applicable prospectus supplement may contain information about any material U.S. federal income tax considerations relating to the securities covered by such prospectus supplement.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79"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1" w:lineRule="exact"/>
        <w:rPr>
          <w:sz w:val="20"/>
          <w:szCs w:val="20"/>
          <w:color w:val="auto"/>
        </w:rPr>
      </w:pPr>
    </w:p>
    <w:p>
      <w:pPr>
        <w:ind w:left="1460" w:right="459" w:firstLine="335"/>
        <w:spacing w:after="0" w:line="277" w:lineRule="auto"/>
        <w:rPr>
          <w:sz w:val="20"/>
          <w:szCs w:val="20"/>
          <w:color w:val="auto"/>
        </w:rPr>
      </w:pPr>
      <w:r>
        <w:rPr>
          <w:rFonts w:ascii="Times New Roman" w:cs="Times New Roman" w:eastAsia="Times New Roman" w:hAnsi="Times New Roman"/>
          <w:sz w:val="13"/>
          <w:szCs w:val="13"/>
          <w:color w:val="auto"/>
        </w:rPr>
        <w:t>We may sell the securities from time to time pursuant to underwritten public offerings, “at the market offerings,” negotiated transactions, block trades or a combination of these methods or any other method permitted by law. We may sell the securities to or through one or more underwriters or dealers (acting as principal or agent), through agents, or directly to one or more purchasers. The securities may be distributed at a fixed price or prices, which may be changed, market prices prevailing at the time of sale, prices related to the prevailing market prices, or negotiated prices, either:</w:t>
      </w:r>
    </w:p>
    <w:p>
      <w:pPr>
        <w:spacing w:after="0" w:line="59" w:lineRule="exact"/>
        <w:rPr>
          <w:sz w:val="20"/>
          <w:szCs w:val="20"/>
          <w:color w:val="auto"/>
        </w:rPr>
      </w:pPr>
    </w:p>
    <w:p>
      <w:pPr>
        <w:ind w:left="2200" w:right="619" w:hanging="331"/>
        <w:spacing w:after="0" w:line="266" w:lineRule="auto"/>
        <w:tabs>
          <w:tab w:leader="none" w:pos="2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through the facilities of Nasdaq or any other securities exchange or quotation or trading service on which such securities may be listed, quoted or traded at the time of sale; and/or</w:t>
      </w:r>
    </w:p>
    <w:p>
      <w:pPr>
        <w:spacing w:after="0" w:line="63"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a market maker otherwise than on Nasdaq or such other securities exchanges or quotation or trading services.</w:t>
      </w:r>
    </w:p>
    <w:p>
      <w:pPr>
        <w:spacing w:after="0" w:line="16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In addition, we may issue the securities as a dividend or distribution or in a subscription rights offering to our existing security holders.</w:t>
      </w:r>
    </w:p>
    <w:p>
      <w:pPr>
        <w:spacing w:after="0" w:line="167" w:lineRule="exact"/>
        <w:rPr>
          <w:sz w:val="20"/>
          <w:szCs w:val="20"/>
          <w:color w:val="auto"/>
        </w:rPr>
      </w:pPr>
    </w:p>
    <w:p>
      <w:pPr>
        <w:ind w:left="1460" w:right="359" w:firstLine="335"/>
        <w:spacing w:after="0" w:line="250" w:lineRule="auto"/>
        <w:rPr>
          <w:sz w:val="20"/>
          <w:szCs w:val="20"/>
          <w:color w:val="auto"/>
        </w:rPr>
      </w:pPr>
      <w:r>
        <w:rPr>
          <w:rFonts w:ascii="Times New Roman" w:cs="Times New Roman" w:eastAsia="Times New Roman" w:hAnsi="Times New Roman"/>
          <w:sz w:val="14"/>
          <w:szCs w:val="14"/>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4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Each prospectus supplement will describe the method of distribution of the securities and any applicable restrictions.</w:t>
      </w:r>
    </w:p>
    <w:p>
      <w:pPr>
        <w:spacing w:after="0" w:line="167" w:lineRule="exact"/>
        <w:rPr>
          <w:sz w:val="20"/>
          <w:szCs w:val="20"/>
          <w:color w:val="auto"/>
        </w:rPr>
      </w:pPr>
    </w:p>
    <w:p>
      <w:pPr>
        <w:ind w:left="1460" w:right="359" w:firstLine="335"/>
        <w:spacing w:after="0" w:line="266" w:lineRule="auto"/>
        <w:rPr>
          <w:sz w:val="20"/>
          <w:szCs w:val="20"/>
          <w:color w:val="auto"/>
        </w:rPr>
      </w:pPr>
      <w:r>
        <w:rPr>
          <w:rFonts w:ascii="Times New Roman" w:cs="Times New Roman" w:eastAsia="Times New Roman" w:hAnsi="Times New Roman"/>
          <w:sz w:val="14"/>
          <w:szCs w:val="14"/>
          <w:color w:val="auto"/>
        </w:rPr>
        <w:t>The prospectus supplement with respect to the securities of a particular series will describe the terms of the offering of the securities, including the following:</w:t>
      </w:r>
    </w:p>
    <w:p>
      <w:pPr>
        <w:spacing w:after="0" w:line="64" w:lineRule="exact"/>
        <w:rPr>
          <w:sz w:val="20"/>
          <w:szCs w:val="20"/>
          <w:color w:val="auto"/>
        </w:rPr>
      </w:pPr>
    </w:p>
    <w:p>
      <w:pPr>
        <w:ind w:left="2200" w:hanging="331"/>
        <w:spacing w:after="0"/>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of the agent(s), dealer(s) or underwriter(s), if any;</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 or other consideration therefor, and the proceeds, if any, we will receive from the sale;</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over-allotment or other options under which underwriters may purchase additional securities from us;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agency fees or discounts or commissions to be allowed or paid to the agent or underwriters;</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items constituting agents’ or underwriters’ compensation;</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and commissions to be allowed or paid to dealers; and</w:t>
      </w:r>
    </w:p>
    <w:p>
      <w:pPr>
        <w:spacing w:after="0" w:line="95"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exchanges on which the securities will be listed.</w:t>
      </w:r>
    </w:p>
    <w:p>
      <w:pPr>
        <w:spacing w:after="0" w:line="167" w:lineRule="exact"/>
        <w:rPr>
          <w:sz w:val="20"/>
          <w:szCs w:val="20"/>
          <w:color w:val="auto"/>
        </w:rPr>
      </w:pPr>
    </w:p>
    <w:p>
      <w:pPr>
        <w:ind w:left="1460" w:right="539" w:firstLine="335"/>
        <w:spacing w:after="0" w:line="255" w:lineRule="auto"/>
        <w:rPr>
          <w:sz w:val="20"/>
          <w:szCs w:val="20"/>
          <w:color w:val="auto"/>
        </w:rPr>
      </w:pPr>
      <w:r>
        <w:rPr>
          <w:rFonts w:ascii="Times New Roman" w:cs="Times New Roman" w:eastAsia="Times New Roman" w:hAnsi="Times New Roman"/>
          <w:sz w:val="14"/>
          <w:szCs w:val="14"/>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143" w:lineRule="exact"/>
        <w:rPr>
          <w:sz w:val="20"/>
          <w:szCs w:val="20"/>
          <w:color w:val="auto"/>
        </w:rPr>
      </w:pPr>
    </w:p>
    <w:p>
      <w:pPr>
        <w:ind w:left="1460" w:right="419" w:firstLine="335"/>
        <w:spacing w:after="0" w:line="255" w:lineRule="auto"/>
        <w:rPr>
          <w:sz w:val="20"/>
          <w:szCs w:val="20"/>
          <w:color w:val="auto"/>
        </w:rPr>
      </w:pPr>
      <w:r>
        <w:rPr>
          <w:rFonts w:ascii="Times New Roman" w:cs="Times New Roman" w:eastAsia="Times New Roman" w:hAnsi="Times New Roman"/>
          <w:sz w:val="14"/>
          <w:szCs w:val="14"/>
          <w:color w:val="auto"/>
        </w:rPr>
        <w:t>In connection with the offering of securities, we may grant to the underwriters an option to purchase additional securities with an additional underwriting commission, as may be set forth in the applicable prospectus supplement. If we grant any such option, the terms of such option will be set forth in the prospectus supplement for such securities.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79"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1460" w:right="379" w:firstLine="335"/>
        <w:spacing w:after="0" w:line="255" w:lineRule="auto"/>
        <w:rPr>
          <w:sz w:val="20"/>
          <w:szCs w:val="20"/>
          <w:color w:val="auto"/>
        </w:rPr>
      </w:pPr>
      <w:r>
        <w:rPr>
          <w:rFonts w:ascii="Times New Roman" w:cs="Times New Roman" w:eastAsia="Times New Roman" w:hAnsi="Times New Roman"/>
          <w:sz w:val="14"/>
          <w:szCs w:val="14"/>
          <w:color w:val="auto"/>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143" w:lineRule="exact"/>
        <w:rPr>
          <w:sz w:val="20"/>
          <w:szCs w:val="20"/>
          <w:color w:val="auto"/>
        </w:rPr>
      </w:pPr>
    </w:p>
    <w:p>
      <w:pPr>
        <w:ind w:left="1460" w:right="379" w:firstLine="335"/>
        <w:spacing w:after="0" w:line="284" w:lineRule="auto"/>
        <w:rPr>
          <w:sz w:val="20"/>
          <w:szCs w:val="20"/>
          <w:color w:val="auto"/>
        </w:rPr>
      </w:pPr>
      <w:r>
        <w:rPr>
          <w:rFonts w:ascii="Times New Roman" w:cs="Times New Roman" w:eastAsia="Times New Roman" w:hAnsi="Times New Roman"/>
          <w:sz w:val="13"/>
          <w:szCs w:val="13"/>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26" w:lineRule="exact"/>
        <w:rPr>
          <w:sz w:val="20"/>
          <w:szCs w:val="20"/>
          <w:color w:val="auto"/>
        </w:rPr>
      </w:pPr>
    </w:p>
    <w:p>
      <w:pPr>
        <w:ind w:left="1460" w:right="519" w:firstLine="335"/>
        <w:spacing w:after="0" w:line="255" w:lineRule="auto"/>
        <w:rPr>
          <w:sz w:val="20"/>
          <w:szCs w:val="20"/>
          <w:color w:val="auto"/>
        </w:rPr>
      </w:pPr>
      <w:r>
        <w:rPr>
          <w:rFonts w:ascii="Times New Roman" w:cs="Times New Roman" w:eastAsia="Times New Roman" w:hAnsi="Times New Roman"/>
          <w:sz w:val="14"/>
          <w:szCs w:val="14"/>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43" w:lineRule="exact"/>
        <w:rPr>
          <w:sz w:val="20"/>
          <w:szCs w:val="20"/>
          <w:color w:val="auto"/>
        </w:rPr>
      </w:pPr>
    </w:p>
    <w:p>
      <w:pPr>
        <w:ind w:left="1460" w:right="339" w:firstLine="335"/>
        <w:spacing w:after="0" w:line="255" w:lineRule="auto"/>
        <w:rPr>
          <w:sz w:val="20"/>
          <w:szCs w:val="20"/>
          <w:color w:val="auto"/>
        </w:rPr>
      </w:pPr>
      <w:r>
        <w:rPr>
          <w:rFonts w:ascii="Times New Roman" w:cs="Times New Roman" w:eastAsia="Times New Roman" w:hAnsi="Times New Roman"/>
          <w:sz w:val="14"/>
          <w:szCs w:val="14"/>
          <w:color w:val="auto"/>
        </w:rPr>
        <w:t>Each underwriter, dealer and agent participating in the distribution of any of the securities that are issuable in bearer form will agree that it will not offer, sell or deliver, directly or indirectly, securities in bearer form in the United States or to United States persons, other than qualifying financial institutions, during the restricted period, as defined in United States Treasury Regulations Section 1.163–5(c)(2)(i)(D)(7).</w:t>
      </w:r>
    </w:p>
    <w:p>
      <w:pPr>
        <w:spacing w:after="0" w:line="143" w:lineRule="exact"/>
        <w:rPr>
          <w:sz w:val="20"/>
          <w:szCs w:val="20"/>
          <w:color w:val="auto"/>
        </w:rPr>
      </w:pPr>
    </w:p>
    <w:p>
      <w:pPr>
        <w:ind w:left="1460" w:right="519" w:firstLine="335"/>
        <w:spacing w:after="0" w:line="271" w:lineRule="auto"/>
        <w:rPr>
          <w:sz w:val="20"/>
          <w:szCs w:val="20"/>
          <w:color w:val="auto"/>
        </w:rPr>
      </w:pPr>
      <w:r>
        <w:rPr>
          <w:rFonts w:ascii="Times New Roman" w:cs="Times New Roman" w:eastAsia="Times New Roman" w:hAnsi="Times New Roman"/>
          <w:sz w:val="13"/>
          <w:szCs w:val="13"/>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64" w:lineRule="exact"/>
        <w:rPr>
          <w:sz w:val="20"/>
          <w:szCs w:val="20"/>
          <w:color w:val="auto"/>
        </w:rPr>
      </w:pPr>
    </w:p>
    <w:p>
      <w:pPr>
        <w:ind w:left="2200" w:right="439" w:hanging="331"/>
        <w:spacing w:after="0" w:line="266" w:lineRule="auto"/>
        <w:tabs>
          <w:tab w:leader="none" w:pos="22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by an institution of the securities covered under that contract shall not at the time of delivery be prohibited under the laws of the jurisdiction to which that institution is subject; and</w:t>
      </w:r>
    </w:p>
    <w:p>
      <w:pPr>
        <w:spacing w:after="0" w:line="63" w:lineRule="exact"/>
        <w:rPr>
          <w:rFonts w:ascii="Times New Roman" w:cs="Times New Roman" w:eastAsia="Times New Roman" w:hAnsi="Times New Roman"/>
          <w:sz w:val="14"/>
          <w:szCs w:val="14"/>
          <w:color w:val="auto"/>
        </w:rPr>
      </w:pPr>
    </w:p>
    <w:p>
      <w:pPr>
        <w:ind w:left="2200" w:right="399" w:hanging="331"/>
        <w:spacing w:after="0" w:line="255" w:lineRule="auto"/>
        <w:tabs>
          <w:tab w:leader="none" w:pos="22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43" w:lineRule="exact"/>
        <w:rPr>
          <w:sz w:val="20"/>
          <w:szCs w:val="20"/>
          <w:color w:val="auto"/>
        </w:rPr>
      </w:pPr>
    </w:p>
    <w:p>
      <w:pPr>
        <w:ind w:left="1460" w:right="359" w:firstLine="335"/>
        <w:spacing w:after="0" w:line="250" w:lineRule="auto"/>
        <w:rPr>
          <w:sz w:val="20"/>
          <w:szCs w:val="20"/>
          <w:color w:val="auto"/>
        </w:rPr>
      </w:pPr>
      <w:r>
        <w:rPr>
          <w:rFonts w:ascii="Times New Roman" w:cs="Times New Roman" w:eastAsia="Times New Roman" w:hAnsi="Times New Roman"/>
          <w:sz w:val="14"/>
          <w:szCs w:val="14"/>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146" w:lineRule="exact"/>
        <w:rPr>
          <w:sz w:val="20"/>
          <w:szCs w:val="20"/>
          <w:color w:val="auto"/>
        </w:rPr>
      </w:pPr>
    </w:p>
    <w:p>
      <w:pPr>
        <w:jc w:val="both"/>
        <w:ind w:left="1460" w:right="559" w:firstLine="335"/>
        <w:spacing w:after="0" w:line="255" w:lineRule="auto"/>
        <w:rPr>
          <w:sz w:val="20"/>
          <w:szCs w:val="20"/>
          <w:color w:val="auto"/>
        </w:rPr>
      </w:pPr>
      <w:r>
        <w:rPr>
          <w:rFonts w:ascii="Times New Roman" w:cs="Times New Roman" w:eastAsia="Times New Roman" w:hAnsi="Times New Roman"/>
          <w:sz w:val="14"/>
          <w:szCs w:val="14"/>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43" w:lineRule="exact"/>
        <w:rPr>
          <w:sz w:val="20"/>
          <w:szCs w:val="20"/>
          <w:color w:val="auto"/>
        </w:rPr>
      </w:pPr>
    </w:p>
    <w:p>
      <w:pPr>
        <w:ind w:left="1460" w:right="539" w:firstLine="335"/>
        <w:spacing w:after="0" w:line="284" w:lineRule="auto"/>
        <w:rPr>
          <w:sz w:val="20"/>
          <w:szCs w:val="20"/>
          <w:color w:val="auto"/>
        </w:rPr>
      </w:pPr>
      <w:r>
        <w:rPr>
          <w:rFonts w:ascii="Times New Roman" w:cs="Times New Roman" w:eastAsia="Times New Roman" w:hAnsi="Times New Roman"/>
          <w:sz w:val="13"/>
          <w:szCs w:val="13"/>
          <w:color w:val="auto"/>
        </w:rPr>
        <w:t>If any securities are offered by us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w:t>
      </w:r>
    </w:p>
    <w:p>
      <w:pPr>
        <w:spacing w:after="0" w:line="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79"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1460" w:right="339"/>
        <w:spacing w:after="0" w:line="249" w:lineRule="auto"/>
        <w:rPr>
          <w:sz w:val="20"/>
          <w:szCs w:val="20"/>
          <w:color w:val="auto"/>
        </w:rPr>
      </w:pPr>
      <w:r>
        <w:rPr>
          <w:rFonts w:ascii="Times New Roman" w:cs="Times New Roman" w:eastAsia="Times New Roman" w:hAnsi="Times New Roman"/>
          <w:sz w:val="14"/>
          <w:szCs w:val="14"/>
          <w:color w:val="auto"/>
        </w:rPr>
        <w:t>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w:t>
      </w:r>
    </w:p>
    <w:p>
      <w:pPr>
        <w:spacing w:after="0" w:line="147" w:lineRule="exact"/>
        <w:rPr>
          <w:sz w:val="20"/>
          <w:szCs w:val="20"/>
          <w:color w:val="auto"/>
        </w:rPr>
      </w:pPr>
    </w:p>
    <w:p>
      <w:pPr>
        <w:ind w:left="1460" w:right="359" w:firstLine="335"/>
        <w:spacing w:after="0" w:line="269" w:lineRule="auto"/>
        <w:rPr>
          <w:sz w:val="20"/>
          <w:szCs w:val="20"/>
          <w:color w:val="auto"/>
        </w:rPr>
      </w:pPr>
      <w:r>
        <w:rPr>
          <w:rFonts w:ascii="Times New Roman" w:cs="Times New Roman" w:eastAsia="Times New Roman" w:hAnsi="Times New Roman"/>
          <w:sz w:val="13"/>
          <w:szCs w:val="13"/>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 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37" w:lineRule="exact"/>
        <w:rPr>
          <w:sz w:val="20"/>
          <w:szCs w:val="20"/>
          <w:color w:val="auto"/>
        </w:rPr>
      </w:pPr>
    </w:p>
    <w:p>
      <w:pPr>
        <w:ind w:left="1460" w:right="339" w:firstLine="335"/>
        <w:spacing w:after="0" w:line="247" w:lineRule="auto"/>
        <w:rPr>
          <w:sz w:val="20"/>
          <w:szCs w:val="20"/>
          <w:color w:val="auto"/>
        </w:rPr>
      </w:pPr>
      <w:r>
        <w:rPr>
          <w:rFonts w:ascii="Times New Roman" w:cs="Times New Roman" w:eastAsia="Times New Roman" w:hAnsi="Times New Roman"/>
          <w:sz w:val="14"/>
          <w:szCs w:val="14"/>
          <w:color w:val="auto"/>
        </w:rPr>
        <w:t>We may engage in at the market offerings into an existing trading market in accordance with Rule 415(a)(4) under the Securities Act. To the extent that we make sales through one or more underwriters or agents in at the market offerings, we will do so pursuant to the terms of a sales agency financing agreement or other at the market offering arrangement between us and the underwriters or agents. If we engage in at the 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securities. The terms of any such agreement will be set forth in more detail in the applicable prospectus supplement.</w:t>
      </w:r>
    </w:p>
    <w:p>
      <w:pPr>
        <w:spacing w:after="0" w:line="150" w:lineRule="exact"/>
        <w:rPr>
          <w:sz w:val="20"/>
          <w:szCs w:val="20"/>
          <w:color w:val="auto"/>
        </w:rPr>
      </w:pPr>
    </w:p>
    <w:p>
      <w:pPr>
        <w:ind w:left="1460" w:right="339" w:firstLine="335"/>
        <w:spacing w:after="0" w:line="247" w:lineRule="auto"/>
        <w:rPr>
          <w:sz w:val="20"/>
          <w:szCs w:val="20"/>
          <w:color w:val="auto"/>
        </w:rPr>
      </w:pPr>
      <w:r>
        <w:rPr>
          <w:rFonts w:ascii="Times New Roman" w:cs="Times New Roman" w:eastAsia="Times New Roman" w:hAnsi="Times New Roman"/>
          <w:sz w:val="14"/>
          <w:szCs w:val="14"/>
          <w:color w:val="auto"/>
        </w:rPr>
        <w:t>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50" w:lineRule="exact"/>
        <w:rPr>
          <w:sz w:val="20"/>
          <w:szCs w:val="20"/>
          <w:color w:val="auto"/>
        </w:rPr>
      </w:pPr>
    </w:p>
    <w:p>
      <w:pPr>
        <w:ind w:left="1460" w:right="339" w:firstLine="335"/>
        <w:spacing w:after="0" w:line="252" w:lineRule="auto"/>
        <w:rPr>
          <w:sz w:val="20"/>
          <w:szCs w:val="20"/>
          <w:color w:val="auto"/>
        </w:rPr>
      </w:pPr>
      <w:r>
        <w:rPr>
          <w:rFonts w:ascii="Times New Roman" w:cs="Times New Roman" w:eastAsia="Times New Roman" w:hAnsi="Times New Roman"/>
          <w:sz w:val="14"/>
          <w:szCs w:val="14"/>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79"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1460" w:right="719"/>
        <w:spacing w:after="0" w:line="266" w:lineRule="auto"/>
        <w:rPr>
          <w:sz w:val="20"/>
          <w:szCs w:val="20"/>
          <w:color w:val="auto"/>
        </w:rPr>
      </w:pPr>
      <w:r>
        <w:rPr>
          <w:rFonts w:ascii="Times New Roman" w:cs="Times New Roman" w:eastAsia="Times New Roman" w:hAnsi="Times New Roman"/>
          <w:sz w:val="14"/>
          <w:szCs w:val="14"/>
          <w:color w:val="auto"/>
        </w:rPr>
        <w:t>the fact that your securities initially are expected to settle in more than one scheduled business day after the trade date for your securities, to make alternative settlement arrangements to prevent a failed settlement.</w:t>
      </w:r>
    </w:p>
    <w:p>
      <w:pPr>
        <w:spacing w:after="0" w:line="136" w:lineRule="exact"/>
        <w:rPr>
          <w:sz w:val="20"/>
          <w:szCs w:val="20"/>
          <w:color w:val="auto"/>
        </w:rPr>
      </w:pPr>
    </w:p>
    <w:p>
      <w:pPr>
        <w:ind w:left="1460" w:right="479" w:firstLine="335"/>
        <w:spacing w:after="0" w:line="252" w:lineRule="auto"/>
        <w:rPr>
          <w:sz w:val="20"/>
          <w:szCs w:val="20"/>
          <w:color w:val="auto"/>
        </w:rPr>
      </w:pPr>
      <w:r>
        <w:rPr>
          <w:rFonts w:ascii="Times New Roman" w:cs="Times New Roman" w:eastAsia="Times New Roman" w:hAnsi="Times New Roman"/>
          <w:sz w:val="14"/>
          <w:szCs w:val="14"/>
          <w:color w:val="auto"/>
        </w:rPr>
        <w:t>The securities may be new issues of securities and may have no established trading market. Any underwriters to whom we sell securities for public offering and sale may make a market in those securities, but they will not be obligated to do so and they may discontinue any market making at any time without notice. The securities may or may not be listed on a national securities exchange. We can make no assurance as to the liquidity of or the existence of trading market for any of the securities.</w:t>
      </w:r>
    </w:p>
    <w:p>
      <w:pPr>
        <w:spacing w:after="0" w:line="14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The specific terms of any lock-up provisions in respect of any given offering will be described in the applicable prospectus supplement.</w:t>
      </w:r>
    </w:p>
    <w:p>
      <w:pPr>
        <w:spacing w:after="0" w:line="167" w:lineRule="exact"/>
        <w:rPr>
          <w:sz w:val="20"/>
          <w:szCs w:val="20"/>
          <w:color w:val="auto"/>
        </w:rPr>
      </w:pPr>
    </w:p>
    <w:p>
      <w:pPr>
        <w:ind w:left="1460" w:right="459" w:firstLine="335"/>
        <w:spacing w:after="0" w:line="266" w:lineRule="auto"/>
        <w:rPr>
          <w:sz w:val="20"/>
          <w:szCs w:val="20"/>
          <w:color w:val="auto"/>
        </w:rPr>
      </w:pPr>
      <w:r>
        <w:rPr>
          <w:rFonts w:ascii="Times New Roman" w:cs="Times New Roman" w:eastAsia="Times New Roman" w:hAnsi="Times New Roman"/>
          <w:sz w:val="14"/>
          <w:szCs w:val="14"/>
          <w:color w:val="auto"/>
        </w:rPr>
        <w:t>The underwriters, dealers and agents may engage in transactions with us, or perform services for us, in the ordinary course of business for which they receive compensation.</w:t>
      </w:r>
    </w:p>
    <w:p>
      <w:pPr>
        <w:spacing w:after="0" w:line="136"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The anticipated date of delivery of offered securities will be set forth in the applicable prospectus supplement relating to each offering.</w:t>
      </w:r>
    </w:p>
    <w:p>
      <w:pPr>
        <w:spacing w:after="0" w:line="1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79"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1" w:lineRule="exact"/>
        <w:rPr>
          <w:sz w:val="20"/>
          <w:szCs w:val="20"/>
          <w:color w:val="auto"/>
        </w:rPr>
      </w:pPr>
    </w:p>
    <w:p>
      <w:pPr>
        <w:ind w:left="1460" w:right="599" w:firstLine="335"/>
        <w:spacing w:after="0" w:line="266" w:lineRule="auto"/>
        <w:rPr>
          <w:sz w:val="20"/>
          <w:szCs w:val="20"/>
          <w:color w:val="auto"/>
        </w:rPr>
      </w:pPr>
      <w:r>
        <w:rPr>
          <w:rFonts w:ascii="Times New Roman" w:cs="Times New Roman" w:eastAsia="Times New Roman" w:hAnsi="Times New Roman"/>
          <w:sz w:val="14"/>
          <w:szCs w:val="14"/>
          <w:color w:val="auto"/>
        </w:rPr>
        <w:t>The legality of any securities offered will be passed upon for us by Goodwin Procter LLP, Boston, Massachusetts, and for any underwriters or agents by counsel named in the applicable prospectus supplement.</w:t>
      </w:r>
    </w:p>
    <w:p>
      <w:pPr>
        <w:spacing w:after="0" w:line="29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1" w:lineRule="exact"/>
        <w:rPr>
          <w:sz w:val="20"/>
          <w:szCs w:val="20"/>
          <w:color w:val="auto"/>
        </w:rPr>
      </w:pPr>
    </w:p>
    <w:p>
      <w:pPr>
        <w:ind w:left="1460" w:right="379" w:firstLine="335"/>
        <w:spacing w:after="0" w:line="250" w:lineRule="auto"/>
        <w:rPr>
          <w:sz w:val="20"/>
          <w:szCs w:val="20"/>
          <w:color w:val="auto"/>
        </w:rPr>
      </w:pPr>
      <w:r>
        <w:rPr>
          <w:rFonts w:ascii="Times New Roman" w:cs="Times New Roman" w:eastAsia="Times New Roman" w:hAnsi="Times New Roman"/>
          <w:sz w:val="14"/>
          <w:szCs w:val="14"/>
          <w:color w:val="auto"/>
        </w:rPr>
        <w:t>The consolidated financial statements of Q32 Bio Inc. appearing in Q32 Bio Inc.’s Annual Report (Form 10-K) for the year ended December 31, 2025,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by reference in reliance upon the report of Ernst &amp; Young LLP pertaining to such financial statements (to the extent covered by consents filed with the SEC) given on the authority of such firm as experts in accounting and auditing.</w:t>
      </w:r>
    </w:p>
    <w:p>
      <w:pPr>
        <w:spacing w:after="0" w:line="3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1" w:lineRule="exact"/>
        <w:rPr>
          <w:sz w:val="20"/>
          <w:szCs w:val="20"/>
          <w:color w:val="auto"/>
        </w:rPr>
      </w:pPr>
    </w:p>
    <w:p>
      <w:pPr>
        <w:ind w:left="1460" w:right="459" w:firstLine="335"/>
        <w:spacing w:after="0" w:line="255" w:lineRule="auto"/>
        <w:rPr>
          <w:sz w:val="20"/>
          <w:szCs w:val="20"/>
          <w:color w:val="auto"/>
        </w:rPr>
      </w:pPr>
      <w:r>
        <w:rPr>
          <w:rFonts w:ascii="Times New Roman" w:cs="Times New Roman" w:eastAsia="Times New Roman" w:hAnsi="Times New Roman"/>
          <w:sz w:val="14"/>
          <w:szCs w:val="14"/>
          <w:color w:val="auto"/>
        </w:rPr>
        <w:t>We are subject to the informational requirements of the Exchange Act and in accordance therewith, file annual, quarterly and current reports, proxy statements and other information with the SEC electronically, and the SEC maintains a website that contains our filings as well as reports, proxy and information statements, and other information issuers file electronically with the SEC at www.sec.gov.</w:t>
      </w:r>
    </w:p>
    <w:p>
      <w:pPr>
        <w:spacing w:after="0" w:line="143" w:lineRule="exact"/>
        <w:rPr>
          <w:sz w:val="20"/>
          <w:szCs w:val="20"/>
          <w:color w:val="auto"/>
        </w:rPr>
      </w:pPr>
    </w:p>
    <w:p>
      <w:pPr>
        <w:ind w:left="1460" w:right="379" w:firstLine="335"/>
        <w:spacing w:after="0" w:line="277" w:lineRule="auto"/>
        <w:rPr>
          <w:sz w:val="20"/>
          <w:szCs w:val="20"/>
          <w:color w:val="auto"/>
        </w:rPr>
      </w:pPr>
      <w:r>
        <w:rPr>
          <w:rFonts w:ascii="Times New Roman" w:cs="Times New Roman" w:eastAsia="Times New Roman" w:hAnsi="Times New Roman"/>
          <w:sz w:val="13"/>
          <w:szCs w:val="13"/>
          <w:color w:val="auto"/>
        </w:rPr>
        <w:t>We also make available free of charge on or through our website at www.q32bio.com,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furnishes it to the SEC. The website addresses are inactive textual references and except as specifically incorporated by reference into this prospectus, information on those websites is not part of this prospectus.</w:t>
      </w:r>
    </w:p>
    <w:p>
      <w:pPr>
        <w:spacing w:after="0" w:line="131" w:lineRule="exact"/>
        <w:rPr>
          <w:sz w:val="20"/>
          <w:szCs w:val="20"/>
          <w:color w:val="auto"/>
        </w:rPr>
      </w:pPr>
    </w:p>
    <w:p>
      <w:pPr>
        <w:ind w:left="1460" w:right="379" w:firstLine="335"/>
        <w:spacing w:after="0" w:line="249" w:lineRule="auto"/>
        <w:rPr>
          <w:sz w:val="20"/>
          <w:szCs w:val="20"/>
          <w:color w:val="auto"/>
        </w:rPr>
      </w:pPr>
      <w:r>
        <w:rPr>
          <w:rFonts w:ascii="Times New Roman" w:cs="Times New Roman" w:eastAsia="Times New Roman" w:hAnsi="Times New Roman"/>
          <w:sz w:val="14"/>
          <w:szCs w:val="14"/>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3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1" w:lineRule="exact"/>
        <w:rPr>
          <w:sz w:val="20"/>
          <w:szCs w:val="20"/>
          <w:color w:val="auto"/>
        </w:rPr>
      </w:pPr>
    </w:p>
    <w:p>
      <w:pPr>
        <w:ind w:left="1460" w:right="339" w:firstLine="335"/>
        <w:spacing w:after="0" w:line="271" w:lineRule="auto"/>
        <w:rPr>
          <w:sz w:val="20"/>
          <w:szCs w:val="20"/>
          <w:color w:val="auto"/>
        </w:rPr>
      </w:pPr>
      <w:r>
        <w:rPr>
          <w:rFonts w:ascii="Times New Roman" w:cs="Times New Roman" w:eastAsia="Times New Roman" w:hAnsi="Times New Roman"/>
          <w:sz w:val="13"/>
          <w:szCs w:val="13"/>
          <w:color w:val="auto"/>
        </w:rPr>
        <w:t>The SEC allows us to incorporate by reference into this prospectus the information contained in other documents we file with the SEC, which means that we can disclose important information to you by referring you to those documents. Any statement contained in any document incorporated or deemed to be incorporated by reference herein shall be deemed to be modified or superseded, for purposes of this prospectus, to the extent that a statement contained in or omitted from this prospectus, or in any other subsequently filed document that also is or is deemed to be incorporated by reference herein, modifies or supersedes such statement. Any such statement so modified or superseded shall not be deemed, except as so modified or superseded, to constitute a part of this prospectus. We incorporate by reference the documents listed below which have been filed by us:</w:t>
      </w:r>
    </w:p>
    <w:p>
      <w:pPr>
        <w:spacing w:after="0" w:line="64" w:lineRule="exact"/>
        <w:rPr>
          <w:sz w:val="20"/>
          <w:szCs w:val="20"/>
          <w:color w:val="auto"/>
        </w:rPr>
      </w:pPr>
    </w:p>
    <w:p>
      <w:pPr>
        <w:ind w:left="5580" w:right="1679" w:hanging="3711"/>
        <w:spacing w:after="0" w:line="435" w:lineRule="auto"/>
        <w:tabs>
          <w:tab w:leader="none" w:pos="220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w:t>
      </w:r>
      <w:hyperlink r:id="rId52">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with the SEC on March 10, 2026; 24</w:t>
      </w:r>
    </w:p>
    <w:p>
      <w:pPr>
        <w:sectPr>
          <w:pgSz w:w="11900" w:h="16838" w:orient="portrait"/>
          <w:cols w:equalWidth="0" w:num="1">
            <w:col w:w="10159"/>
          </w:cols>
          <w:pgMar w:left="300" w:top="379"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2200" w:right="379" w:hanging="331"/>
        <w:spacing w:after="0" w:line="266" w:lineRule="auto"/>
        <w:tabs>
          <w:tab w:leader="none" w:pos="2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Form 10-K for the year ended December 31, 2025 from our </w:t>
      </w:r>
      <w:hyperlink r:id="rId54">
        <w:r>
          <w:rPr>
            <w:rFonts w:ascii="Times New Roman" w:cs="Times New Roman" w:eastAsia="Times New Roman" w:hAnsi="Times New Roman"/>
            <w:sz w:val="14"/>
            <w:szCs w:val="14"/>
            <w:u w:val="single" w:color="auto"/>
            <w:color w:val="0000EE"/>
          </w:rPr>
          <w:t>Definitive Proxy Statement on Schedule 14A</w:t>
        </w:r>
      </w:hyperlink>
      <w:r>
        <w:rPr>
          <w:rFonts w:ascii="Times New Roman" w:cs="Times New Roman" w:eastAsia="Times New Roman" w:hAnsi="Times New Roman"/>
          <w:sz w:val="14"/>
          <w:szCs w:val="14"/>
          <w:color w:val="auto"/>
        </w:rPr>
        <w:t>, filed with the SEC on April 30, 2026;</w:t>
      </w:r>
    </w:p>
    <w:p>
      <w:pPr>
        <w:spacing w:after="0" w:line="63" w:lineRule="exact"/>
        <w:rPr>
          <w:rFonts w:ascii="Times New Roman" w:cs="Times New Roman" w:eastAsia="Times New Roman" w:hAnsi="Times New Roman"/>
          <w:sz w:val="14"/>
          <w:szCs w:val="14"/>
          <w:color w:val="auto"/>
        </w:rPr>
      </w:pPr>
    </w:p>
    <w:p>
      <w:pPr>
        <w:ind w:left="2200" w:hanging="331"/>
        <w:spacing w:after="0"/>
        <w:tabs>
          <w:tab w:leader="none" w:pos="2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Quarterly Report on </w:t>
      </w:r>
      <w:hyperlink r:id="rId55">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quarter ended March 31, 2026, filed with the SEC on May 5, 2026;</w:t>
      </w:r>
    </w:p>
    <w:p>
      <w:pPr>
        <w:spacing w:after="0" w:line="95" w:lineRule="exact"/>
        <w:rPr>
          <w:rFonts w:ascii="Times New Roman" w:cs="Times New Roman" w:eastAsia="Times New Roman" w:hAnsi="Times New Roman"/>
          <w:sz w:val="14"/>
          <w:szCs w:val="14"/>
          <w:color w:val="auto"/>
        </w:rPr>
      </w:pPr>
    </w:p>
    <w:p>
      <w:pPr>
        <w:ind w:left="2200" w:right="619" w:hanging="331"/>
        <w:spacing w:after="0" w:line="266" w:lineRule="auto"/>
        <w:tabs>
          <w:tab w:leader="none" w:pos="2200" w:val="left"/>
        </w:tabs>
        <w:numPr>
          <w:ilvl w:val="0"/>
          <w:numId w:val="13"/>
        </w:numPr>
        <w:rPr>
          <w:rFonts w:ascii="Times New Roman" w:cs="Times New Roman" w:eastAsia="Times New Roman" w:hAnsi="Times New Roman"/>
          <w:sz w:val="14"/>
          <w:szCs w:val="14"/>
          <w:color w:val="0000EE"/>
        </w:rPr>
      </w:pPr>
      <w:hyperlink r:id="rId56">
        <w:r>
          <w:rPr>
            <w:rFonts w:ascii="Times New Roman" w:cs="Times New Roman" w:eastAsia="Times New Roman" w:hAnsi="Times New Roman"/>
            <w:sz w:val="14"/>
            <w:szCs w:val="14"/>
            <w:color w:val="auto"/>
          </w:rPr>
          <w:t xml:space="preserve">Current Reports on Form 8-K filed with the SEC on </w:t>
        </w:r>
        <w:r>
          <w:rPr>
            <w:rFonts w:ascii="Times New Roman" w:cs="Times New Roman" w:eastAsia="Times New Roman" w:hAnsi="Times New Roman"/>
            <w:sz w:val="14"/>
            <w:szCs w:val="14"/>
            <w:u w:val="single" w:color="auto"/>
            <w:color w:val="0000EE"/>
          </w:rPr>
          <w:t>February 17,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March 27,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April 24,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May 27, 2026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0000EE"/>
          </w:rPr>
          <w:t>June 16,</w:t>
        </w:r>
      </w:hyperlink>
      <w:r>
        <w:rPr>
          <w:rFonts w:ascii="Times New Roman" w:cs="Times New Roman" w:eastAsia="Times New Roman" w:hAnsi="Times New Roman"/>
          <w:sz w:val="14"/>
          <w:szCs w:val="14"/>
          <w:color w:val="auto"/>
        </w:rPr>
        <w:t xml:space="preserve"> </w:t>
      </w:r>
      <w:hyperlink r:id="rId56">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00"/>
          </w:rPr>
          <w:t>; and</w:t>
        </w:r>
      </w:hyperlink>
    </w:p>
    <w:p>
      <w:pPr>
        <w:spacing w:after="0" w:line="63" w:lineRule="exact"/>
        <w:rPr>
          <w:rFonts w:ascii="Times New Roman" w:cs="Times New Roman" w:eastAsia="Times New Roman" w:hAnsi="Times New Roman"/>
          <w:sz w:val="14"/>
          <w:szCs w:val="14"/>
          <w:color w:val="0000EE"/>
        </w:rPr>
      </w:pPr>
    </w:p>
    <w:p>
      <w:pPr>
        <w:ind w:left="2200" w:right="399" w:hanging="331"/>
        <w:spacing w:after="0" w:line="252" w:lineRule="auto"/>
        <w:tabs>
          <w:tab w:leader="none" w:pos="2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(i) the Registration Statement on </w:t>
      </w:r>
      <w:hyperlink r:id="rId57">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 No. 001-38433), filed by us with the SEC under Section 12(b) of the Exchange Act on March 19, 2018, including any amendments or reports filed for the purpose of updating such description and (ii) </w:t>
      </w:r>
      <w:hyperlink r:id="rId58">
        <w:r>
          <w:rPr>
            <w:rFonts w:ascii="Times New Roman" w:cs="Times New Roman" w:eastAsia="Times New Roman" w:hAnsi="Times New Roman"/>
            <w:sz w:val="14"/>
            <w:szCs w:val="14"/>
            <w:u w:val="single" w:color="auto"/>
            <w:color w:val="0000EE"/>
          </w:rPr>
          <w:t>Exhibit 4.1</w:t>
        </w:r>
      </w:hyperlink>
      <w:r>
        <w:rPr>
          <w:rFonts w:ascii="Times New Roman" w:cs="Times New Roman" w:eastAsia="Times New Roman" w:hAnsi="Times New Roman"/>
          <w:sz w:val="14"/>
          <w:szCs w:val="14"/>
          <w:color w:val="auto"/>
        </w:rPr>
        <w:t>—Description of Securities to our Annual Report on Form 10-K for the year ended December 31, 2025, as filed with the SEC on March 10, 2026.</w:t>
      </w:r>
    </w:p>
    <w:p>
      <w:pPr>
        <w:spacing w:after="0" w:line="145" w:lineRule="exact"/>
        <w:rPr>
          <w:rFonts w:ascii="Times New Roman" w:cs="Times New Roman" w:eastAsia="Times New Roman" w:hAnsi="Times New Roman"/>
          <w:sz w:val="14"/>
          <w:szCs w:val="14"/>
          <w:color w:val="auto"/>
        </w:rPr>
      </w:pPr>
    </w:p>
    <w:p>
      <w:pPr>
        <w:ind w:left="1460" w:right="559"/>
        <w:spacing w:after="0" w:line="248" w:lineRule="auto"/>
        <w:rPr>
          <w:sz w:val="20"/>
          <w:szCs w:val="20"/>
          <w:color w:val="auto"/>
        </w:rPr>
      </w:pPr>
      <w:r>
        <w:rPr>
          <w:rFonts w:ascii="Times New Roman" w:cs="Times New Roman" w:eastAsia="Times New Roman" w:hAnsi="Times New Roman"/>
          <w:sz w:val="14"/>
          <w:szCs w:val="14"/>
          <w:color w:val="auto"/>
        </w:rPr>
        <w:t>All documents we file with the SEC pursuant to Sections 13(a), 13(c), 14 or 15(d) of the Exchange Act, except as to any portion of any report or documents that is not deemed filed under such provisions, (i) on or after the date of filing of the registration statement containing this prospectus and prior to the effectiveness of the registration statement and (ii) on or after the date of this prospectus until the earlier of the date on which all of the securities registered hereunder have been sold or the registration statement of which this prospectus is a part has been withdrawn, shall be deemed incorporated by reference in this prospectus and to be a part of this prospectus from the date of filing of those documents and will be automatically updated and, to the extent described above, supersede information contained or incorporated by reference in this prospectus and previously filed documents that are incorporated by reference in this prospectus.</w:t>
      </w:r>
    </w:p>
    <w:p>
      <w:pPr>
        <w:spacing w:after="0" w:line="149" w:lineRule="exact"/>
        <w:rPr>
          <w:rFonts w:ascii="Times New Roman" w:cs="Times New Roman" w:eastAsia="Times New Roman" w:hAnsi="Times New Roman"/>
          <w:sz w:val="14"/>
          <w:szCs w:val="14"/>
          <w:color w:val="auto"/>
        </w:rPr>
      </w:pPr>
    </w:p>
    <w:p>
      <w:pPr>
        <w:ind w:left="1460" w:right="439" w:firstLine="335"/>
        <w:spacing w:after="0" w:line="250" w:lineRule="auto"/>
        <w:rPr>
          <w:sz w:val="20"/>
          <w:szCs w:val="20"/>
          <w:color w:val="auto"/>
        </w:rPr>
      </w:pPr>
      <w:r>
        <w:rPr>
          <w:rFonts w:ascii="Times New Roman" w:cs="Times New Roman" w:eastAsia="Times New Roman" w:hAnsi="Times New Roman"/>
          <w:sz w:val="14"/>
          <w:szCs w:val="14"/>
          <w:color w:val="auto"/>
        </w:rPr>
        <w:t>Nothing in this prospectus shall be deemed to incorporate information furnished but not filed with the SEC pursuant to Item 2.02, 7.01 or 9.01 of Form 8-K. Upon written or oral request, we will provide without charge to each person, including any beneficial owner, to whom a copy of the prospectus is delivered a copy of any or all of the reports or documents incorporated by reference herein (other than exhibits to such documents, unless such exhibits are specifically incorporated by reference herein). You may request a copy of these filings, at no cost, by writing or telephoning us at the following address or phone number:</w:t>
      </w:r>
    </w:p>
    <w:p>
      <w:pPr>
        <w:spacing w:after="0" w:line="64"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Q32 Bio Inc.</w:t>
      </w:r>
    </w:p>
    <w:p>
      <w:pPr>
        <w:spacing w:after="0" w:line="15"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830 Winter Street</w:t>
      </w:r>
    </w:p>
    <w:p>
      <w:pPr>
        <w:spacing w:after="0" w:line="3"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Waltham, MA 02451</w:t>
      </w:r>
    </w:p>
    <w:p>
      <w:pPr>
        <w:spacing w:after="0" w:line="3"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3"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(781) 999-0232</w:t>
      </w:r>
    </w:p>
    <w:p>
      <w:pPr>
        <w:spacing w:after="0" w:line="3"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Email: IR@q32bio.com</w:t>
      </w:r>
    </w:p>
    <w:p>
      <w:pPr>
        <w:spacing w:after="0" w:line="104"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79"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189230</wp:posOffset>
            </wp:positionV>
            <wp:extent cx="5315585" cy="13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5315585" cy="13335"/>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228600</wp:posOffset>
            </wp:positionV>
            <wp:extent cx="531558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5315585" cy="6350"/>
                    </a:xfrm>
                    <a:prstGeom prst="rect">
                      <a:avLst/>
                    </a:prstGeom>
                    <a:noFill/>
                  </pic:spPr>
                </pic:pic>
              </a:graphicData>
            </a:graphic>
          </wp:anchor>
        </w:drawing>
        <w:drawing>
          <wp:anchor simplePos="0" relativeHeight="251657728" behindDoc="1" locked="0" layoutInCell="0" allowOverlap="1">
            <wp:simplePos x="0" y="0"/>
            <wp:positionH relativeFrom="column">
              <wp:posOffset>3128010</wp:posOffset>
            </wp:positionH>
            <wp:positionV relativeFrom="paragraph">
              <wp:posOffset>495300</wp:posOffset>
            </wp:positionV>
            <wp:extent cx="911860" cy="2152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911860" cy="215265"/>
                    </a:xfrm>
                    <a:prstGeom prst="rect">
                      <a:avLst/>
                    </a:prstGeom>
                    <a:noFill/>
                  </pic:spPr>
                </pic:pic>
              </a:graphicData>
            </a:graphic>
          </wp:anchor>
        </w:drawing>
      </w:r>
    </w:p>
    <w:p>
      <w:pPr>
        <w:sectPr>
          <w:pgSz w:w="11900" w:h="16838" w:orient="portrait"/>
          <w:cols w:equalWidth="0" w:num="1">
            <w:col w:w="10159"/>
          </w:cols>
          <w:pgMar w:left="300" w:top="3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$300,000,000</w:t>
      </w:r>
    </w:p>
    <w:p>
      <w:pPr>
        <w:spacing w:after="0" w:line="3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295275</wp:posOffset>
            </wp:positionV>
            <wp:extent cx="112014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185420</wp:posOffset>
            </wp:positionV>
            <wp:extent cx="112014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332105</wp:posOffset>
            </wp:positionV>
            <wp:extent cx="531558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5315585" cy="6350"/>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377190</wp:posOffset>
            </wp:positionV>
            <wp:extent cx="5315585" cy="13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5315585" cy="13335"/>
                    </a:xfrm>
                    <a:prstGeom prst="rect">
                      <a:avLst/>
                    </a:prstGeom>
                    <a:noFill/>
                  </pic:spPr>
                </pic:pic>
              </a:graphicData>
            </a:graphic>
          </wp:anchor>
        </w:drawing>
      </w:r>
    </w:p>
    <w:p>
      <w:pPr>
        <w:sectPr>
          <w:pgSz w:w="11900" w:h="16838" w:orient="portrait"/>
          <w:cols w:equalWidth="0" w:num="1">
            <w:col w:w="10159"/>
          </w:cols>
          <w:pgMar w:left="300" w:top="379" w:right="1440"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6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89" w:lineRule="exact"/>
        <w:rPr>
          <w:sz w:val="20"/>
          <w:szCs w:val="20"/>
          <w:color w:val="auto"/>
        </w:rPr>
      </w:pPr>
    </w:p>
    <w:p>
      <w:pPr>
        <w:ind w:left="1460" w:right="639" w:firstLine="335"/>
        <w:spacing w:after="0" w:line="266" w:lineRule="auto"/>
        <w:rPr>
          <w:sz w:val="20"/>
          <w:szCs w:val="20"/>
          <w:color w:val="auto"/>
        </w:rPr>
      </w:pPr>
      <w:r>
        <w:rPr>
          <w:rFonts w:ascii="Times New Roman" w:cs="Times New Roman" w:eastAsia="Times New Roman" w:hAnsi="Times New Roman"/>
          <w:sz w:val="14"/>
          <w:szCs w:val="14"/>
          <w:color w:val="auto"/>
        </w:rPr>
        <w:t>The following is an estimate of the expenses (all of which are to be paid by the registrant) that we may incur in connection with the securities being registered hereby.</w:t>
      </w:r>
    </w:p>
    <w:p>
      <w:pPr>
        <w:spacing w:after="0" w:line="150" w:lineRule="exact"/>
        <w:rPr>
          <w:sz w:val="20"/>
          <w:szCs w:val="20"/>
          <w:color w:val="auto"/>
        </w:rPr>
      </w:pPr>
    </w:p>
    <w:tbl>
      <w:tblPr>
        <w:tblLayout w:type="fixed"/>
        <w:tblInd w:w="2800" w:type="dxa"/>
        <w:tblCellMar>
          <w:top w:w="0" w:type="dxa"/>
          <w:left w:w="0" w:type="dxa"/>
          <w:bottom w:w="0" w:type="dxa"/>
          <w:right w:w="0" w:type="dxa"/>
        </w:tblCellMar>
      </w:tblPr>
      <w:tr>
        <w:trPr>
          <w:trHeight w:val="132"/>
        </w:trPr>
        <w:tc>
          <w:tcPr>
            <w:tcW w:w="4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54"/>
        </w:trPr>
        <w:tc>
          <w:tcPr>
            <w:tcW w:w="496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SEC registration fee</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2"/>
              </w:rPr>
              <w:t>41,430.00</w:t>
            </w:r>
          </w:p>
        </w:tc>
        <w:tc>
          <w:tcPr>
            <w:tcW w:w="100" w:type="dxa"/>
            <w:vAlign w:val="bottom"/>
            <w:tcBorders>
              <w:top w:val="single" w:sz="8" w:color="CCEEFF"/>
            </w:tcBorders>
            <w:shd w:val="clear" w:color="auto" w:fill="CCEEFF"/>
          </w:tcPr>
          <w:p>
            <w:pPr>
              <w:spacing w:after="0"/>
              <w:rPr>
                <w:sz w:val="13"/>
                <w:szCs w:val="13"/>
                <w:color w:val="auto"/>
              </w:rPr>
            </w:pPr>
          </w:p>
        </w:tc>
      </w:tr>
      <w:tr>
        <w:trPr>
          <w:trHeight w:val="164"/>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FINRA filing fee</w:t>
            </w: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2"/>
              </w:rPr>
              <w:t>45,500.00</w:t>
            </w:r>
          </w:p>
        </w:tc>
      </w:tr>
      <w:tr>
        <w:trPr>
          <w:trHeight w:val="164"/>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w:t>
            </w:r>
          </w:p>
        </w:tc>
      </w:tr>
      <w:tr>
        <w:trPr>
          <w:trHeight w:val="164"/>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  *</w:t>
            </w:r>
          </w:p>
        </w:tc>
      </w:tr>
      <w:tr>
        <w:trPr>
          <w:trHeight w:val="164"/>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w:t>
            </w:r>
          </w:p>
        </w:tc>
      </w:tr>
      <w:tr>
        <w:trPr>
          <w:trHeight w:val="164"/>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  *</w:t>
            </w:r>
          </w:p>
        </w:tc>
      </w:tr>
      <w:tr>
        <w:trPr>
          <w:trHeight w:val="20"/>
        </w:trPr>
        <w:tc>
          <w:tcPr>
            <w:tcW w:w="4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These fees are calculated based on the securities offered and the number of issuances and accordingly cannot be defined at this time.</w:t>
      </w:r>
    </w:p>
    <w:p>
      <w:pPr>
        <w:spacing w:after="0" w:line="24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89" w:lineRule="exact"/>
        <w:rPr>
          <w:sz w:val="20"/>
          <w:szCs w:val="20"/>
          <w:color w:val="auto"/>
        </w:rPr>
      </w:pPr>
    </w:p>
    <w:p>
      <w:pPr>
        <w:ind w:left="1460" w:right="339" w:firstLine="335"/>
        <w:spacing w:after="0" w:line="269" w:lineRule="auto"/>
        <w:rPr>
          <w:sz w:val="20"/>
          <w:szCs w:val="20"/>
          <w:color w:val="auto"/>
        </w:rPr>
      </w:pPr>
      <w:r>
        <w:rPr>
          <w:rFonts w:ascii="Times New Roman" w:cs="Times New Roman" w:eastAsia="Times New Roman" w:hAnsi="Times New Roman"/>
          <w:sz w:val="13"/>
          <w:szCs w:val="13"/>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37" w:lineRule="exact"/>
        <w:rPr>
          <w:sz w:val="20"/>
          <w:szCs w:val="20"/>
          <w:color w:val="auto"/>
        </w:rPr>
      </w:pPr>
    </w:p>
    <w:p>
      <w:pPr>
        <w:ind w:left="1460" w:right="339" w:firstLine="335"/>
        <w:spacing w:after="0" w:line="246" w:lineRule="auto"/>
        <w:rPr>
          <w:sz w:val="20"/>
          <w:szCs w:val="20"/>
          <w:color w:val="auto"/>
        </w:rPr>
      </w:pPr>
      <w:r>
        <w:rPr>
          <w:rFonts w:ascii="Times New Roman" w:cs="Times New Roman" w:eastAsia="Times New Roman" w:hAnsi="Times New Roman"/>
          <w:sz w:val="14"/>
          <w:szCs w:val="14"/>
          <w:color w:val="auto"/>
        </w:rPr>
        <w:t>Section 102(b)(7) of the DGCL provides that a corporation’s certificate of incorporation may contain a provision eliminating or limiting the personal liability of a director or officer to the corporation or its stockholders for monetary damages for breach of fiduciary duty, provided that such provision shall not eliminate or limit the liability (i) for any breach of the duty of loyalty to the corporation or its stockholders, (ii) for acts or omissions not in good faith or that involve intentional misconduct or a knowing violation of law, (iii) under Section 174 of the DGCL, or (iv) for any transaction from which an improper personal benefit was derived. The Bylaws provide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The Bylaws provide that we will indemnify any Indemnitee who was or is a party to an action or suit by or in the right of us to procure a judgment in our favor by reason of the fact that the Indemnitee is or was, or</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79"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1460" w:right="339"/>
        <w:spacing w:after="0" w:line="247" w:lineRule="auto"/>
        <w:rPr>
          <w:sz w:val="20"/>
          <w:szCs w:val="20"/>
          <w:color w:val="auto"/>
        </w:rPr>
      </w:pPr>
      <w:r>
        <w:rPr>
          <w:rFonts w:ascii="Times New Roman" w:cs="Times New Roman" w:eastAsia="Times New Roman" w:hAnsi="Times New Roman"/>
          <w:sz w:val="14"/>
          <w:szCs w:val="14"/>
          <w:color w:val="auto"/>
        </w:rPr>
        <w:t>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50" w:lineRule="exact"/>
        <w:rPr>
          <w:sz w:val="20"/>
          <w:szCs w:val="20"/>
          <w:color w:val="auto"/>
        </w:rPr>
      </w:pPr>
    </w:p>
    <w:p>
      <w:pPr>
        <w:ind w:left="1460" w:right="399" w:firstLine="335"/>
        <w:spacing w:after="0" w:line="252"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45" w:lineRule="exact"/>
        <w:rPr>
          <w:sz w:val="20"/>
          <w:szCs w:val="20"/>
          <w:color w:val="auto"/>
        </w:rPr>
      </w:pPr>
    </w:p>
    <w:p>
      <w:pPr>
        <w:ind w:left="1460" w:right="759" w:firstLine="335"/>
        <w:spacing w:after="0" w:line="266" w:lineRule="auto"/>
        <w:rPr>
          <w:sz w:val="20"/>
          <w:szCs w:val="20"/>
          <w:color w:val="auto"/>
        </w:rPr>
      </w:pPr>
      <w:r>
        <w:rPr>
          <w:rFonts w:ascii="Times New Roman" w:cs="Times New Roman" w:eastAsia="Times New Roman" w:hAnsi="Times New Roman"/>
          <w:sz w:val="14"/>
          <w:szCs w:val="14"/>
          <w:color w:val="auto"/>
        </w:rPr>
        <w:t>We also maintain general liability insurance that covers certain liabilities of our directors and officers arising out of claims based on acts or omissions in their capacities as directors or officers, including liabilities under the Securities Act.</w:t>
      </w:r>
    </w:p>
    <w:p>
      <w:pPr>
        <w:spacing w:after="0" w:line="136" w:lineRule="exact"/>
        <w:rPr>
          <w:sz w:val="20"/>
          <w:szCs w:val="20"/>
          <w:color w:val="auto"/>
        </w:rPr>
      </w:pPr>
    </w:p>
    <w:p>
      <w:pPr>
        <w:ind w:left="1460" w:right="419" w:firstLine="335"/>
        <w:spacing w:after="0" w:line="249" w:lineRule="auto"/>
        <w:rPr>
          <w:sz w:val="20"/>
          <w:szCs w:val="20"/>
          <w:color w:val="auto"/>
        </w:rPr>
      </w:pPr>
      <w:r>
        <w:rPr>
          <w:rFonts w:ascii="Times New Roman" w:cs="Times New Roman" w:eastAsia="Times New Roman" w:hAnsi="Times New Roman"/>
          <w:sz w:val="14"/>
          <w:szCs w:val="14"/>
          <w:color w:val="auto"/>
        </w:rPr>
        <w:t>Under the Merger Agreement, from the effective time of the Merger through the sixth anniversary of the date of the effective time, we agreed to indemnify and hold harmless each person who was, as of November 16, 2023, the signing date of the Merger Agreement, or had been at any time prior, or who becomes prior to the effective time of the Merger, a director or officer of our company or Legacy Q32, against all claims, losses, liabilities, damages, judgments, fines and reasonable fees, costs and expenses, including attorneys’ fees and disbursements, pertaining to claims arising out of the fact that such person was a director or officer of our company or Legacy Q32, at or prior to the effective time of the merger, to the fullest extent permitted under the DGCL.</w:t>
      </w:r>
    </w:p>
    <w:p>
      <w:pPr>
        <w:spacing w:after="0" w:line="147" w:lineRule="exact"/>
        <w:rPr>
          <w:sz w:val="20"/>
          <w:szCs w:val="20"/>
          <w:color w:val="auto"/>
        </w:rPr>
      </w:pPr>
    </w:p>
    <w:p>
      <w:pPr>
        <w:ind w:left="1460" w:right="359" w:firstLine="335"/>
        <w:spacing w:after="0" w:line="252" w:lineRule="auto"/>
        <w:rPr>
          <w:sz w:val="20"/>
          <w:szCs w:val="20"/>
          <w:color w:val="auto"/>
        </w:rPr>
      </w:pPr>
      <w:r>
        <w:rPr>
          <w:rFonts w:ascii="Times New Roman" w:cs="Times New Roman" w:eastAsia="Times New Roman" w:hAnsi="Times New Roman"/>
          <w:sz w:val="14"/>
          <w:szCs w:val="14"/>
          <w:color w:val="auto"/>
        </w:rPr>
        <w:t>Under the Merger Agreement, we agreed not to amend, modify or repeal provisions in the Restated Certificate of Incorporation and the Amended and Restated Bylaws that were in effect as of November 16, 2023, the date of the Merger Agreement, with respect to indemnification, advancement of expenses and exculpation of our present and former directors and officers for a period of six years from the effective time of the Merger in a manner that would adversely affect the rights of such individuals who at the effective time of the Merger were our officers or directors.</w:t>
      </w:r>
    </w:p>
    <w:p>
      <w:pPr>
        <w:spacing w:after="0" w:line="145" w:lineRule="exact"/>
        <w:rPr>
          <w:sz w:val="20"/>
          <w:szCs w:val="20"/>
          <w:color w:val="auto"/>
        </w:rPr>
      </w:pPr>
    </w:p>
    <w:p>
      <w:pPr>
        <w:ind w:left="1460" w:right="479" w:firstLine="335"/>
        <w:spacing w:after="0" w:line="284" w:lineRule="auto"/>
        <w:rPr>
          <w:sz w:val="20"/>
          <w:szCs w:val="20"/>
          <w:color w:val="auto"/>
        </w:rPr>
      </w:pPr>
      <w:r>
        <w:rPr>
          <w:rFonts w:ascii="Times New Roman" w:cs="Times New Roman" w:eastAsia="Times New Roman" w:hAnsi="Times New Roman"/>
          <w:sz w:val="13"/>
          <w:szCs w:val="13"/>
          <w:color w:val="auto"/>
        </w:rPr>
        <w:t>In connection with the Merger, we purchased an insurance policy in effect for six years from the effective time of the Merger, providing no less favorable coverage as the current directors’ and officers’ liability insurance policies maintained by us with respect to any actual or alleged error, misstatement, misleading statement, act, omission, neglect, breach of duty or any matter claimed against our current and former officers and directors.</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79"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285"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1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580" w:type="dxa"/>
            <w:vAlign w:val="bottom"/>
            <w:vMerge w:val="restart"/>
          </w:tcPr>
          <w:p>
            <w:pPr>
              <w:ind w:left="1040"/>
              <w:spacing w:after="0"/>
              <w:rPr>
                <w:sz w:val="20"/>
                <w:szCs w:val="20"/>
                <w:color w:val="auto"/>
              </w:rPr>
            </w:pPr>
            <w:r>
              <w:rPr>
                <w:rFonts w:ascii="Times New Roman" w:cs="Times New Roman" w:eastAsia="Times New Roman" w:hAnsi="Times New Roman"/>
                <w:sz w:val="11"/>
                <w:szCs w:val="11"/>
                <w:b w:val="1"/>
                <w:bCs w:val="1"/>
                <w:color w:val="auto"/>
                <w:w w:val="95"/>
              </w:rPr>
              <w:t>Description</w:t>
            </w:r>
          </w:p>
        </w:tc>
        <w:tc>
          <w:tcPr>
            <w:tcW w:w="0" w:type="dxa"/>
            <w:vAlign w:val="bottom"/>
          </w:tcPr>
          <w:p>
            <w:pPr>
              <w:spacing w:after="0"/>
              <w:rPr>
                <w:sz w:val="1"/>
                <w:szCs w:val="1"/>
                <w:color w:val="auto"/>
              </w:rPr>
            </w:pPr>
          </w:p>
        </w:tc>
      </w:tr>
      <w:tr>
        <w:trPr>
          <w:trHeight w:val="143"/>
        </w:trPr>
        <w:tc>
          <w:tcPr>
            <w:tcW w:w="14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520" w:hanging="61"/>
        <w:spacing w:after="0"/>
        <w:tabs>
          <w:tab w:leader="none" w:pos="152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1.1**   Form of Underwriting Agreement.</w:t>
      </w:r>
    </w:p>
    <w:p>
      <w:pPr>
        <w:spacing w:after="0" w:line="119" w:lineRule="exact"/>
        <w:rPr>
          <w:rFonts w:ascii="Times New Roman" w:cs="Times New Roman" w:eastAsia="Times New Roman" w:hAnsi="Times New Roman"/>
          <w:sz w:val="11"/>
          <w:szCs w:val="11"/>
          <w:color w:val="auto"/>
        </w:rPr>
      </w:pPr>
    </w:p>
    <w:p>
      <w:pPr>
        <w:ind w:left="2120" w:right="180" w:hanging="661"/>
        <w:spacing w:after="0" w:line="255" w:lineRule="auto"/>
        <w:tabs>
          <w:tab w:leader="none" w:pos="1532" w:val="left"/>
        </w:tabs>
        <w:numPr>
          <w:ilvl w:val="0"/>
          <w:numId w:val="14"/>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2.1*</w:t>
      </w:r>
      <w:hyperlink r:id="rId70">
        <w:r>
          <w:rPr>
            <w:rFonts w:ascii="Times New Roman" w:cs="Times New Roman" w:eastAsia="Times New Roman" w:hAnsi="Times New Roman"/>
            <w:sz w:val="14"/>
            <w:szCs w:val="14"/>
            <w:u w:val="single" w:color="auto"/>
            <w:color w:val="0000EE"/>
          </w:rPr>
          <w:t>Agreement and Plan of Merger, dated as of November 16, 2023, by and</w:t>
        </w:r>
      </w:hyperlink>
      <w:r>
        <w:rPr>
          <w:rFonts w:ascii="Times New Roman" w:cs="Times New Roman" w:eastAsia="Times New Roman" w:hAnsi="Times New Roman"/>
          <w:sz w:val="14"/>
          <w:szCs w:val="14"/>
          <w:u w:val="single" w:color="auto"/>
          <w:color w:val="0000EE"/>
        </w:rPr>
        <w:t xml:space="preserve"> </w:t>
      </w:r>
      <w:hyperlink r:id="rId70">
        <w:r>
          <w:rPr>
            <w:rFonts w:ascii="Times New Roman" w:cs="Times New Roman" w:eastAsia="Times New Roman" w:hAnsi="Times New Roman"/>
            <w:sz w:val="14"/>
            <w:szCs w:val="14"/>
            <w:u w:val="single" w:color="auto"/>
            <w:color w:val="0000EE"/>
          </w:rPr>
          <w:t>among Homology Medicines, Inc., Kenobi Merger Sub, Inc. and Q32 Bio</w:t>
        </w:r>
      </w:hyperlink>
      <w:r>
        <w:rPr>
          <w:rFonts w:ascii="Times New Roman" w:cs="Times New Roman" w:eastAsia="Times New Roman" w:hAnsi="Times New Roman"/>
          <w:sz w:val="14"/>
          <w:szCs w:val="14"/>
          <w:u w:val="single" w:color="auto"/>
          <w:color w:val="0000EE"/>
        </w:rPr>
        <w:t xml:space="preserve"> </w:t>
      </w:r>
      <w:hyperlink r:id="rId70">
        <w:r>
          <w:rPr>
            <w:rFonts w:ascii="Times New Roman" w:cs="Times New Roman" w:eastAsia="Times New Roman" w:hAnsi="Times New Roman"/>
            <w:sz w:val="14"/>
            <w:szCs w:val="14"/>
            <w:u w:val="single" w:color="auto"/>
            <w:color w:val="0000EE"/>
          </w:rPr>
          <w:t>Inc.</w:t>
        </w:r>
      </w:hyperlink>
    </w:p>
    <w:p>
      <w:pPr>
        <w:spacing w:after="0" w:line="61" w:lineRule="exact"/>
        <w:rPr>
          <w:rFonts w:ascii="Times New Roman" w:cs="Times New Roman" w:eastAsia="Times New Roman" w:hAnsi="Times New Roman"/>
          <w:sz w:val="14"/>
          <w:szCs w:val="14"/>
          <w:u w:val="single" w:color="auto"/>
          <w:color w:val="0000EE"/>
        </w:rPr>
      </w:pPr>
    </w:p>
    <w:p>
      <w:pPr>
        <w:ind w:left="1520" w:hanging="61"/>
        <w:spacing w:after="0"/>
        <w:tabs>
          <w:tab w:leader="none" w:pos="1520" w:val="left"/>
        </w:tabs>
        <w:numPr>
          <w:ilvl w:val="0"/>
          <w:numId w:val="14"/>
        </w:numPr>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1"/>
          <w:szCs w:val="11"/>
          <w:color w:val="auto"/>
        </w:rPr>
        <w:t>  3.1</w:t>
      </w:r>
      <w:hyperlink r:id="rId71">
        <w:r>
          <w:rPr>
            <w:rFonts w:ascii="Times New Roman" w:cs="Times New Roman" w:eastAsia="Times New Roman" w:hAnsi="Times New Roman"/>
            <w:sz w:val="13"/>
            <w:szCs w:val="13"/>
            <w:u w:val="single" w:color="auto"/>
            <w:color w:val="0000EE"/>
          </w:rPr>
          <w:t>Restated Certificate of Incorporation, as currently in effect.</w:t>
        </w:r>
      </w:hyperlink>
    </w:p>
    <w:p>
      <w:pPr>
        <w:spacing w:after="0" w:line="96" w:lineRule="exact"/>
        <w:rPr>
          <w:rFonts w:ascii="Times New Roman" w:cs="Times New Roman" w:eastAsia="Times New Roman" w:hAnsi="Times New Roman"/>
          <w:sz w:val="13"/>
          <w:szCs w:val="13"/>
          <w:u w:val="single" w:color="auto"/>
          <w:color w:val="0000EE"/>
        </w:rPr>
      </w:pPr>
    </w:p>
    <w:p>
      <w:pPr>
        <w:ind w:left="2120" w:right="360" w:hanging="661"/>
        <w:spacing w:after="0" w:line="255" w:lineRule="auto"/>
        <w:tabs>
          <w:tab w:leader="none" w:pos="1532" w:val="left"/>
        </w:tabs>
        <w:numPr>
          <w:ilvl w:val="0"/>
          <w:numId w:val="14"/>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3.2</w:t>
      </w:r>
      <w:hyperlink r:id="rId72">
        <w:r>
          <w:rPr>
            <w:rFonts w:ascii="Times New Roman" w:cs="Times New Roman" w:eastAsia="Times New Roman" w:hAnsi="Times New Roman"/>
            <w:sz w:val="14"/>
            <w:szCs w:val="14"/>
            <w:u w:val="single" w:color="auto"/>
            <w:color w:val="0000EE"/>
          </w:rPr>
          <w:t>Certificate of Amendment to the Amended and Restated Certificate of</w:t>
        </w:r>
      </w:hyperlink>
      <w:r>
        <w:rPr>
          <w:rFonts w:ascii="Times New Roman" w:cs="Times New Roman" w:eastAsia="Times New Roman" w:hAnsi="Times New Roman"/>
          <w:sz w:val="14"/>
          <w:szCs w:val="14"/>
          <w:u w:val="single" w:color="auto"/>
          <w:color w:val="0000EE"/>
        </w:rPr>
        <w:t xml:space="preserve"> </w:t>
      </w:r>
      <w:hyperlink r:id="rId72">
        <w:r>
          <w:rPr>
            <w:rFonts w:ascii="Times New Roman" w:cs="Times New Roman" w:eastAsia="Times New Roman" w:hAnsi="Times New Roman"/>
            <w:sz w:val="14"/>
            <w:szCs w:val="14"/>
            <w:u w:val="single" w:color="auto"/>
            <w:color w:val="0000EE"/>
          </w:rPr>
          <w:t>Incorporation-reverse stock split and authorized share increase, dated</w:t>
        </w:r>
      </w:hyperlink>
      <w:r>
        <w:rPr>
          <w:rFonts w:ascii="Times New Roman" w:cs="Times New Roman" w:eastAsia="Times New Roman" w:hAnsi="Times New Roman"/>
          <w:sz w:val="14"/>
          <w:szCs w:val="14"/>
          <w:u w:val="single" w:color="auto"/>
          <w:color w:val="0000EE"/>
        </w:rPr>
        <w:t xml:space="preserve"> </w:t>
      </w:r>
      <w:hyperlink r:id="rId72">
        <w:r>
          <w:rPr>
            <w:rFonts w:ascii="Times New Roman" w:cs="Times New Roman" w:eastAsia="Times New Roman" w:hAnsi="Times New Roman"/>
            <w:sz w:val="14"/>
            <w:szCs w:val="14"/>
            <w:u w:val="single" w:color="auto"/>
            <w:color w:val="0000EE"/>
          </w:rPr>
          <w:t>March 25, 2024.</w:t>
        </w:r>
      </w:hyperlink>
    </w:p>
    <w:p>
      <w:pPr>
        <w:spacing w:after="0" w:line="61" w:lineRule="exact"/>
        <w:rPr>
          <w:rFonts w:ascii="Times New Roman" w:cs="Times New Roman" w:eastAsia="Times New Roman" w:hAnsi="Times New Roman"/>
          <w:sz w:val="14"/>
          <w:szCs w:val="14"/>
          <w:u w:val="single" w:color="auto"/>
          <w:color w:val="0000EE"/>
        </w:rPr>
      </w:pPr>
    </w:p>
    <w:p>
      <w:pPr>
        <w:ind w:left="2120" w:right="360" w:hanging="661"/>
        <w:spacing w:after="0" w:line="266" w:lineRule="auto"/>
        <w:tabs>
          <w:tab w:leader="none" w:pos="1532" w:val="left"/>
        </w:tabs>
        <w:numPr>
          <w:ilvl w:val="0"/>
          <w:numId w:val="14"/>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3.3</w:t>
      </w:r>
      <w:hyperlink r:id="rId73">
        <w:r>
          <w:rPr>
            <w:rFonts w:ascii="Times New Roman" w:cs="Times New Roman" w:eastAsia="Times New Roman" w:hAnsi="Times New Roman"/>
            <w:sz w:val="14"/>
            <w:szCs w:val="14"/>
            <w:u w:val="single" w:color="auto"/>
            <w:color w:val="0000EE"/>
          </w:rPr>
          <w:t>Certificate of Amendment to the Amended and Restated Certificate of</w:t>
        </w:r>
      </w:hyperlink>
      <w:r>
        <w:rPr>
          <w:rFonts w:ascii="Times New Roman" w:cs="Times New Roman" w:eastAsia="Times New Roman" w:hAnsi="Times New Roman"/>
          <w:sz w:val="14"/>
          <w:szCs w:val="14"/>
          <w:u w:val="single" w:color="auto"/>
          <w:color w:val="0000EE"/>
        </w:rPr>
        <w:t xml:space="preserve"> </w:t>
      </w:r>
      <w:hyperlink r:id="rId73">
        <w:r>
          <w:rPr>
            <w:rFonts w:ascii="Times New Roman" w:cs="Times New Roman" w:eastAsia="Times New Roman" w:hAnsi="Times New Roman"/>
            <w:sz w:val="14"/>
            <w:szCs w:val="14"/>
            <w:u w:val="single" w:color="auto"/>
            <w:color w:val="0000EE"/>
          </w:rPr>
          <w:t>Incorporation-name change, dated March 25, 2024.</w:t>
        </w:r>
      </w:hyperlink>
    </w:p>
    <w:p>
      <w:pPr>
        <w:spacing w:after="0" w:line="53" w:lineRule="exact"/>
        <w:rPr>
          <w:rFonts w:ascii="Times New Roman" w:cs="Times New Roman" w:eastAsia="Times New Roman" w:hAnsi="Times New Roman"/>
          <w:sz w:val="14"/>
          <w:szCs w:val="14"/>
          <w:u w:val="single" w:color="auto"/>
          <w:color w:val="0000EE"/>
        </w:rPr>
      </w:pPr>
    </w:p>
    <w:p>
      <w:pPr>
        <w:ind w:left="2120" w:right="240" w:hanging="661"/>
        <w:spacing w:after="0" w:line="305" w:lineRule="auto"/>
        <w:tabs>
          <w:tab w:leader="none" w:pos="1532" w:val="left"/>
        </w:tabs>
        <w:numPr>
          <w:ilvl w:val="0"/>
          <w:numId w:val="14"/>
        </w:numPr>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  3.4</w:t>
      </w:r>
      <w:hyperlink r:id="rId74">
        <w:r>
          <w:rPr>
            <w:rFonts w:ascii="Times New Roman" w:cs="Times New Roman" w:eastAsia="Times New Roman" w:hAnsi="Times New Roman"/>
            <w:sz w:val="13"/>
            <w:szCs w:val="13"/>
            <w:u w:val="single" w:color="auto"/>
            <w:color w:val="0000EE"/>
          </w:rPr>
          <w:t>Certificate of Amendment to the Amended and Restated Certificate of</w:t>
        </w:r>
      </w:hyperlink>
      <w:r>
        <w:rPr>
          <w:rFonts w:ascii="Times New Roman" w:cs="Times New Roman" w:eastAsia="Times New Roman" w:hAnsi="Times New Roman"/>
          <w:sz w:val="13"/>
          <w:szCs w:val="13"/>
          <w:u w:val="single" w:color="auto"/>
          <w:color w:val="0000EE"/>
        </w:rPr>
        <w:t xml:space="preserve"> </w:t>
      </w:r>
      <w:hyperlink r:id="rId74">
        <w:r>
          <w:rPr>
            <w:rFonts w:ascii="Times New Roman" w:cs="Times New Roman" w:eastAsia="Times New Roman" w:hAnsi="Times New Roman"/>
            <w:sz w:val="13"/>
            <w:szCs w:val="13"/>
            <w:u w:val="single" w:color="auto"/>
            <w:color w:val="0000EE"/>
          </w:rPr>
          <w:t>Incorporation of the Company-officer exculpation, dated June 16, 2025.</w:t>
        </w:r>
      </w:hyperlink>
    </w:p>
    <w:p>
      <w:pPr>
        <w:spacing w:after="0" w:line="30" w:lineRule="exact"/>
        <w:rPr>
          <w:rFonts w:ascii="Times New Roman" w:cs="Times New Roman" w:eastAsia="Times New Roman" w:hAnsi="Times New Roman"/>
          <w:sz w:val="13"/>
          <w:szCs w:val="13"/>
          <w:u w:val="single" w:color="auto"/>
          <w:color w:val="0000EE"/>
        </w:rPr>
      </w:pPr>
    </w:p>
    <w:p>
      <w:pPr>
        <w:ind w:left="1520" w:hanging="61"/>
        <w:spacing w:after="0"/>
        <w:tabs>
          <w:tab w:leader="none" w:pos="1520" w:val="left"/>
        </w:tabs>
        <w:numPr>
          <w:ilvl w:val="0"/>
          <w:numId w:val="14"/>
        </w:numPr>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1"/>
          <w:szCs w:val="11"/>
          <w:color w:val="auto"/>
        </w:rPr>
        <w:t>  3.5</w:t>
      </w:r>
      <w:hyperlink r:id="rId75">
        <w:r>
          <w:rPr>
            <w:rFonts w:ascii="Times New Roman" w:cs="Times New Roman" w:eastAsia="Times New Roman" w:hAnsi="Times New Roman"/>
            <w:sz w:val="13"/>
            <w:szCs w:val="13"/>
            <w:u w:val="single" w:color="auto"/>
            <w:color w:val="0000EE"/>
          </w:rPr>
          <w:t>Amended and Restated Bylaws, as currently in effect.</w:t>
        </w:r>
      </w:hyperlink>
    </w:p>
    <w:p>
      <w:pPr>
        <w:spacing w:after="0" w:line="96" w:lineRule="exact"/>
        <w:rPr>
          <w:rFonts w:ascii="Times New Roman" w:cs="Times New Roman" w:eastAsia="Times New Roman" w:hAnsi="Times New Roman"/>
          <w:sz w:val="13"/>
          <w:szCs w:val="13"/>
          <w:u w:val="single" w:color="auto"/>
          <w:color w:val="0000EE"/>
        </w:rPr>
      </w:pPr>
    </w:p>
    <w:p>
      <w:pPr>
        <w:ind w:left="1520" w:hanging="61"/>
        <w:spacing w:after="0"/>
        <w:tabs>
          <w:tab w:leader="none" w:pos="1520" w:val="left"/>
        </w:tabs>
        <w:numPr>
          <w:ilvl w:val="0"/>
          <w:numId w:val="14"/>
        </w:numPr>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1"/>
          <w:szCs w:val="11"/>
          <w:color w:val="auto"/>
        </w:rPr>
        <w:t>  4.1</w:t>
      </w:r>
      <w:hyperlink r:id="rId58">
        <w:r>
          <w:rPr>
            <w:rFonts w:ascii="Times New Roman" w:cs="Times New Roman" w:eastAsia="Times New Roman" w:hAnsi="Times New Roman"/>
            <w:sz w:val="13"/>
            <w:szCs w:val="13"/>
            <w:u w:val="single" w:color="auto"/>
            <w:color w:val="0000EE"/>
          </w:rPr>
          <w:t>Description of Registrant’s Securities.</w:t>
        </w:r>
      </w:hyperlink>
    </w:p>
    <w:p>
      <w:pPr>
        <w:spacing w:after="0" w:line="96" w:lineRule="exact"/>
        <w:rPr>
          <w:rFonts w:ascii="Times New Roman" w:cs="Times New Roman" w:eastAsia="Times New Roman" w:hAnsi="Times New Roman"/>
          <w:sz w:val="13"/>
          <w:szCs w:val="13"/>
          <w:u w:val="single" w:color="auto"/>
          <w:color w:val="0000EE"/>
        </w:rPr>
      </w:pPr>
    </w:p>
    <w:p>
      <w:pPr>
        <w:ind w:left="1520" w:hanging="61"/>
        <w:spacing w:after="0"/>
        <w:tabs>
          <w:tab w:leader="none" w:pos="152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4.2</w:t>
      </w:r>
      <w:r>
        <w:rPr>
          <w:rFonts w:ascii="Times New Roman" w:cs="Times New Roman" w:eastAsia="Times New Roman" w:hAnsi="Times New Roman"/>
          <w:sz w:val="13"/>
          <w:szCs w:val="13"/>
          <w:u w:val="single" w:color="auto"/>
          <w:color w:val="0000EE"/>
        </w:rPr>
        <w:t>Form of Senior Debt Indenture</w:t>
      </w:r>
    </w:p>
    <w:p>
      <w:pPr>
        <w:spacing w:after="0" w:line="96" w:lineRule="exact"/>
        <w:rPr>
          <w:rFonts w:ascii="Times New Roman" w:cs="Times New Roman" w:eastAsia="Times New Roman" w:hAnsi="Times New Roman"/>
          <w:sz w:val="11"/>
          <w:szCs w:val="11"/>
          <w:color w:val="auto"/>
        </w:rPr>
      </w:pPr>
    </w:p>
    <w:p>
      <w:pPr>
        <w:ind w:left="1520" w:hanging="61"/>
        <w:spacing w:after="0"/>
        <w:tabs>
          <w:tab w:leader="none" w:pos="152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4.3</w:t>
      </w:r>
      <w:r>
        <w:rPr>
          <w:rFonts w:ascii="Times New Roman" w:cs="Times New Roman" w:eastAsia="Times New Roman" w:hAnsi="Times New Roman"/>
          <w:sz w:val="13"/>
          <w:szCs w:val="13"/>
          <w:u w:val="single" w:color="auto"/>
          <w:color w:val="0000EE"/>
        </w:rPr>
        <w:t>Form of Subordinated Debt Indenture</w:t>
      </w:r>
    </w:p>
    <w:p>
      <w:pPr>
        <w:spacing w:after="0" w:line="96" w:lineRule="exact"/>
        <w:rPr>
          <w:rFonts w:ascii="Times New Roman" w:cs="Times New Roman" w:eastAsia="Times New Roman" w:hAnsi="Times New Roman"/>
          <w:sz w:val="11"/>
          <w:szCs w:val="11"/>
          <w:color w:val="auto"/>
        </w:rPr>
      </w:pPr>
    </w:p>
    <w:p>
      <w:pPr>
        <w:ind w:left="1520" w:hanging="61"/>
        <w:spacing w:after="0"/>
        <w:tabs>
          <w:tab w:leader="none" w:pos="152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4.4**   Form of Certificate of Designations of Preferred Stock</w:t>
      </w:r>
    </w:p>
    <w:p>
      <w:pPr>
        <w:spacing w:after="0" w:line="119" w:lineRule="exact"/>
        <w:rPr>
          <w:rFonts w:ascii="Times New Roman" w:cs="Times New Roman" w:eastAsia="Times New Roman" w:hAnsi="Times New Roman"/>
          <w:sz w:val="11"/>
          <w:szCs w:val="11"/>
          <w:color w:val="auto"/>
        </w:rPr>
      </w:pPr>
    </w:p>
    <w:p>
      <w:pPr>
        <w:ind w:left="1520" w:hanging="61"/>
        <w:spacing w:after="0"/>
        <w:tabs>
          <w:tab w:leader="none" w:pos="152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4.5**   Form of Preferred Stock Certificate</w:t>
      </w:r>
    </w:p>
    <w:p>
      <w:pPr>
        <w:spacing w:after="0" w:line="119" w:lineRule="exact"/>
        <w:rPr>
          <w:rFonts w:ascii="Times New Roman" w:cs="Times New Roman" w:eastAsia="Times New Roman" w:hAnsi="Times New Roman"/>
          <w:sz w:val="11"/>
          <w:szCs w:val="11"/>
          <w:color w:val="auto"/>
        </w:rPr>
      </w:pPr>
    </w:p>
    <w:p>
      <w:pPr>
        <w:ind w:left="1520" w:hanging="61"/>
        <w:spacing w:after="0"/>
        <w:tabs>
          <w:tab w:leader="none" w:pos="152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4.6**   Form of Warrant Agreement</w:t>
      </w:r>
    </w:p>
    <w:p>
      <w:pPr>
        <w:spacing w:after="0" w:line="119" w:lineRule="exact"/>
        <w:rPr>
          <w:rFonts w:ascii="Times New Roman" w:cs="Times New Roman" w:eastAsia="Times New Roman" w:hAnsi="Times New Roman"/>
          <w:sz w:val="11"/>
          <w:szCs w:val="11"/>
          <w:color w:val="auto"/>
        </w:rPr>
      </w:pPr>
    </w:p>
    <w:p>
      <w:pPr>
        <w:ind w:left="1520" w:hanging="61"/>
        <w:spacing w:after="0"/>
        <w:tabs>
          <w:tab w:leader="none" w:pos="152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4.7**   Form of Unit Agreement</w:t>
      </w:r>
    </w:p>
    <w:p>
      <w:pPr>
        <w:spacing w:after="0" w:line="119" w:lineRule="exact"/>
        <w:rPr>
          <w:rFonts w:ascii="Times New Roman" w:cs="Times New Roman" w:eastAsia="Times New Roman" w:hAnsi="Times New Roman"/>
          <w:sz w:val="11"/>
          <w:szCs w:val="11"/>
          <w:color w:val="auto"/>
        </w:rPr>
      </w:pPr>
    </w:p>
    <w:p>
      <w:pPr>
        <w:ind w:left="1520" w:hanging="61"/>
        <w:spacing w:after="0"/>
        <w:tabs>
          <w:tab w:leader="none" w:pos="1520" w:val="left"/>
        </w:tabs>
        <w:numPr>
          <w:ilvl w:val="0"/>
          <w:numId w:val="14"/>
        </w:numPr>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1"/>
          <w:szCs w:val="11"/>
          <w:color w:val="auto"/>
        </w:rPr>
        <w:t>  4.8</w:t>
      </w:r>
      <w:hyperlink r:id="rId76">
        <w:r>
          <w:rPr>
            <w:rFonts w:ascii="Times New Roman" w:cs="Times New Roman" w:eastAsia="Times New Roman" w:hAnsi="Times New Roman"/>
            <w:sz w:val="13"/>
            <w:szCs w:val="13"/>
            <w:u w:val="single" w:color="auto"/>
            <w:color w:val="0000EE"/>
          </w:rPr>
          <w:t>Form of Pre-Funded Warrant</w:t>
        </w:r>
      </w:hyperlink>
    </w:p>
    <w:p>
      <w:pPr>
        <w:spacing w:after="0" w:line="96" w:lineRule="exact"/>
        <w:rPr>
          <w:rFonts w:ascii="Times New Roman" w:cs="Times New Roman" w:eastAsia="Times New Roman" w:hAnsi="Times New Roman"/>
          <w:sz w:val="13"/>
          <w:szCs w:val="13"/>
          <w:u w:val="single" w:color="auto"/>
          <w:color w:val="0000EE"/>
        </w:rPr>
      </w:pPr>
    </w:p>
    <w:p>
      <w:pPr>
        <w:ind w:left="1520" w:hanging="61"/>
        <w:spacing w:after="0"/>
        <w:tabs>
          <w:tab w:leader="none" w:pos="152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5.1</w:t>
      </w:r>
      <w:r>
        <w:rPr>
          <w:rFonts w:ascii="Times New Roman" w:cs="Times New Roman" w:eastAsia="Times New Roman" w:hAnsi="Times New Roman"/>
          <w:sz w:val="13"/>
          <w:szCs w:val="13"/>
          <w:u w:val="single" w:color="auto"/>
          <w:color w:val="0000EE"/>
        </w:rPr>
        <w:t>Opinion of Goodwin Procter LLP</w:t>
      </w:r>
    </w:p>
    <w:p>
      <w:pPr>
        <w:spacing w:after="0" w:line="96" w:lineRule="exact"/>
        <w:rPr>
          <w:rFonts w:ascii="Times New Roman" w:cs="Times New Roman" w:eastAsia="Times New Roman" w:hAnsi="Times New Roman"/>
          <w:sz w:val="11"/>
          <w:szCs w:val="11"/>
          <w:color w:val="auto"/>
        </w:rPr>
      </w:pPr>
    </w:p>
    <w:p>
      <w:pPr>
        <w:ind w:left="2120" w:right="80" w:hanging="661"/>
        <w:spacing w:after="0" w:line="305" w:lineRule="auto"/>
        <w:tabs>
          <w:tab w:leader="none" w:pos="1532" w:val="left"/>
        </w:tabs>
        <w:numPr>
          <w:ilvl w:val="0"/>
          <w:numId w:val="14"/>
        </w:numPr>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10.1*</w:t>
      </w:r>
      <w:hyperlink r:id="rId77">
        <w:r>
          <w:rPr>
            <w:rFonts w:ascii="Times New Roman" w:cs="Times New Roman" w:eastAsia="Times New Roman" w:hAnsi="Times New Roman"/>
            <w:sz w:val="13"/>
            <w:szCs w:val="13"/>
            <w:u w:val="single" w:color="auto"/>
            <w:color w:val="0000EE"/>
          </w:rPr>
          <w:t>Registration Rights Agreement, dated March 25, 2024, by and among Q32</w:t>
        </w:r>
      </w:hyperlink>
      <w:r>
        <w:rPr>
          <w:rFonts w:ascii="Times New Roman" w:cs="Times New Roman" w:eastAsia="Times New Roman" w:hAnsi="Times New Roman"/>
          <w:sz w:val="13"/>
          <w:szCs w:val="13"/>
          <w:u w:val="single" w:color="auto"/>
          <w:color w:val="0000EE"/>
        </w:rPr>
        <w:t xml:space="preserve"> </w:t>
      </w:r>
      <w:hyperlink r:id="rId77">
        <w:r>
          <w:rPr>
            <w:rFonts w:ascii="Times New Roman" w:cs="Times New Roman" w:eastAsia="Times New Roman" w:hAnsi="Times New Roman"/>
            <w:sz w:val="13"/>
            <w:szCs w:val="13"/>
            <w:u w:val="single" w:color="auto"/>
            <w:color w:val="0000EE"/>
          </w:rPr>
          <w:t>Bio Operations Inc. (formerly Q32 Bio Inc.) and certain parties thereto.</w:t>
        </w:r>
      </w:hyperlink>
    </w:p>
    <w:p>
      <w:pPr>
        <w:spacing w:after="0" w:line="30" w:lineRule="exact"/>
        <w:rPr>
          <w:rFonts w:ascii="Times New Roman" w:cs="Times New Roman" w:eastAsia="Times New Roman" w:hAnsi="Times New Roman"/>
          <w:sz w:val="13"/>
          <w:szCs w:val="13"/>
          <w:u w:val="single" w:color="auto"/>
          <w:color w:val="0000EE"/>
        </w:rPr>
      </w:pPr>
    </w:p>
    <w:p>
      <w:pPr>
        <w:ind w:left="1520" w:hanging="61"/>
        <w:spacing w:after="0"/>
        <w:tabs>
          <w:tab w:leader="none" w:pos="1520" w:val="left"/>
        </w:tabs>
        <w:numPr>
          <w:ilvl w:val="0"/>
          <w:numId w:val="14"/>
        </w:numPr>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1"/>
          <w:szCs w:val="11"/>
          <w:color w:val="auto"/>
        </w:rPr>
        <w:t>10.2*</w:t>
      </w:r>
      <w:hyperlink r:id="rId78">
        <w:r>
          <w:rPr>
            <w:rFonts w:ascii="Times New Roman" w:cs="Times New Roman" w:eastAsia="Times New Roman" w:hAnsi="Times New Roman"/>
            <w:sz w:val="13"/>
            <w:szCs w:val="13"/>
            <w:u w:val="single" w:color="auto"/>
            <w:color w:val="0000EE"/>
          </w:rPr>
          <w:t>Form of Registration Rights Agreement.</w:t>
        </w:r>
      </w:hyperlink>
    </w:p>
    <w:p>
      <w:pPr>
        <w:spacing w:after="0" w:line="96" w:lineRule="exact"/>
        <w:rPr>
          <w:rFonts w:ascii="Times New Roman" w:cs="Times New Roman" w:eastAsia="Times New Roman" w:hAnsi="Times New Roman"/>
          <w:sz w:val="13"/>
          <w:szCs w:val="13"/>
          <w:u w:val="single" w:color="auto"/>
          <w:color w:val="0000EE"/>
        </w:rPr>
      </w:pPr>
    </w:p>
    <w:p>
      <w:pPr>
        <w:ind w:left="1520" w:hanging="61"/>
        <w:spacing w:after="0"/>
        <w:tabs>
          <w:tab w:leader="none" w:pos="1520" w:val="left"/>
        </w:tabs>
        <w:numPr>
          <w:ilvl w:val="0"/>
          <w:numId w:val="14"/>
        </w:numPr>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1"/>
          <w:szCs w:val="11"/>
          <w:color w:val="auto"/>
        </w:rPr>
        <w:t>10.3</w:t>
      </w:r>
      <w:hyperlink r:id="rId79">
        <w:r>
          <w:rPr>
            <w:rFonts w:ascii="Times New Roman" w:cs="Times New Roman" w:eastAsia="Times New Roman" w:hAnsi="Times New Roman"/>
            <w:sz w:val="13"/>
            <w:szCs w:val="13"/>
            <w:u w:val="single" w:color="auto"/>
            <w:color w:val="0000EE"/>
          </w:rPr>
          <w:t>Q32 Bio Inc. Warrant to Purchase Common Stock dated December 11, 2020.</w:t>
        </w:r>
      </w:hyperlink>
    </w:p>
    <w:p>
      <w:pPr>
        <w:spacing w:after="0" w:line="96" w:lineRule="exact"/>
        <w:rPr>
          <w:rFonts w:ascii="Times New Roman" w:cs="Times New Roman" w:eastAsia="Times New Roman" w:hAnsi="Times New Roman"/>
          <w:sz w:val="13"/>
          <w:szCs w:val="13"/>
          <w:u w:val="single" w:color="auto"/>
          <w:color w:val="0000EE"/>
        </w:rPr>
      </w:pPr>
    </w:p>
    <w:p>
      <w:pPr>
        <w:ind w:left="1520" w:hanging="61"/>
        <w:spacing w:after="0"/>
        <w:tabs>
          <w:tab w:leader="none" w:pos="1520" w:val="left"/>
        </w:tabs>
        <w:numPr>
          <w:ilvl w:val="0"/>
          <w:numId w:val="14"/>
        </w:numPr>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1"/>
          <w:szCs w:val="11"/>
          <w:color w:val="auto"/>
        </w:rPr>
        <w:t>10.4</w:t>
      </w:r>
      <w:hyperlink r:id="rId80">
        <w:r>
          <w:rPr>
            <w:rFonts w:ascii="Times New Roman" w:cs="Times New Roman" w:eastAsia="Times New Roman" w:hAnsi="Times New Roman"/>
            <w:sz w:val="13"/>
            <w:szCs w:val="13"/>
            <w:u w:val="single" w:color="auto"/>
            <w:color w:val="0000EE"/>
          </w:rPr>
          <w:t>Q32 Bio Inc. Warrant to Purchase Common Stock dated July 12, 2023.</w:t>
        </w:r>
      </w:hyperlink>
    </w:p>
    <w:p>
      <w:pPr>
        <w:spacing w:after="0" w:line="96" w:lineRule="exact"/>
        <w:rPr>
          <w:rFonts w:ascii="Times New Roman" w:cs="Times New Roman" w:eastAsia="Times New Roman" w:hAnsi="Times New Roman"/>
          <w:sz w:val="13"/>
          <w:szCs w:val="13"/>
          <w:u w:val="single" w:color="auto"/>
          <w:color w:val="0000EE"/>
        </w:rPr>
      </w:pPr>
    </w:p>
    <w:p>
      <w:pPr>
        <w:ind w:left="2120" w:right="80" w:hanging="661"/>
        <w:spacing w:after="0" w:line="266" w:lineRule="auto"/>
        <w:tabs>
          <w:tab w:leader="none" w:pos="15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23.1</w:t>
      </w:r>
      <w:r>
        <w:rPr>
          <w:rFonts w:ascii="Times New Roman" w:cs="Times New Roman" w:eastAsia="Times New Roman" w:hAnsi="Times New Roman"/>
          <w:sz w:val="14"/>
          <w:szCs w:val="14"/>
          <w:u w:val="single" w:color="auto"/>
          <w:color w:val="0000EE"/>
        </w:rPr>
        <w:t>Consent of Ernst &amp; Young LLP, Independent Registered Public Accounting Firm.</w:t>
      </w:r>
    </w:p>
    <w:p>
      <w:pPr>
        <w:spacing w:after="0" w:line="84" w:lineRule="exact"/>
        <w:rPr>
          <w:rFonts w:ascii="Times New Roman" w:cs="Times New Roman" w:eastAsia="Times New Roman" w:hAnsi="Times New Roman"/>
          <w:sz w:val="11"/>
          <w:szCs w:val="11"/>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br w:type="column"/>
      </w:r>
    </w:p>
    <w:p>
      <w:pPr>
        <w:spacing w:after="0" w:line="200" w:lineRule="exact"/>
        <w:rPr>
          <w:rFonts w:ascii="Times New Roman" w:cs="Times New Roman" w:eastAsia="Times New Roman" w:hAnsi="Times New Roman"/>
          <w:sz w:val="11"/>
          <w:szCs w:val="11"/>
          <w:color w:val="auto"/>
        </w:rPr>
      </w:pPr>
    </w:p>
    <w:p>
      <w:pPr>
        <w:spacing w:after="0" w:line="200" w:lineRule="exact"/>
        <w:rPr>
          <w:rFonts w:ascii="Times New Roman" w:cs="Times New Roman" w:eastAsia="Times New Roman" w:hAnsi="Times New Roman"/>
          <w:sz w:val="11"/>
          <w:szCs w:val="11"/>
          <w:color w:val="auto"/>
        </w:rPr>
      </w:pPr>
    </w:p>
    <w:p>
      <w:pPr>
        <w:spacing w:after="0" w:line="326" w:lineRule="exact"/>
        <w:rPr>
          <w:rFonts w:ascii="Times New Roman" w:cs="Times New Roman" w:eastAsia="Times New Roman" w:hAnsi="Times New Roman"/>
          <w:sz w:val="11"/>
          <w:szCs w:val="11"/>
          <w:color w:val="auto"/>
        </w:rPr>
      </w:pPr>
    </w:p>
    <w:p>
      <w:pPr>
        <w:spacing w:after="0" w:line="1" w:lineRule="exact"/>
        <w:rPr>
          <w:rFonts w:ascii="Times New Roman" w:cs="Times New Roman" w:eastAsia="Times New Roman" w:hAnsi="Times New Roman"/>
          <w:sz w:val="1"/>
          <w:szCs w:val="1"/>
          <w:color w:val="auto"/>
        </w:rPr>
      </w:pPr>
    </w:p>
    <w:tbl>
      <w:tblPr>
        <w:tblLayout w:type="fixed"/>
        <w:tblInd w:w="20" w:type="dxa"/>
        <w:tblCellMar>
          <w:top w:w="0" w:type="dxa"/>
          <w:left w:w="0" w:type="dxa"/>
          <w:bottom w:w="0" w:type="dxa"/>
          <w:right w:w="0" w:type="dxa"/>
        </w:tblCellMar>
      </w:tblPr>
      <w:tr>
        <w:trPr>
          <w:trHeight w:val="143"/>
        </w:trPr>
        <w:tc>
          <w:tcPr>
            <w:tcW w:w="460" w:type="dxa"/>
            <w:vAlign w:val="bottom"/>
          </w:tcPr>
          <w:p>
            <w:pPr>
              <w:spacing w:after="0"/>
              <w:rPr>
                <w:sz w:val="12"/>
                <w:szCs w:val="12"/>
                <w:color w:val="auto"/>
              </w:rPr>
            </w:pPr>
          </w:p>
        </w:tc>
        <w:tc>
          <w:tcPr>
            <w:tcW w:w="2180" w:type="dxa"/>
            <w:vAlign w:val="bottom"/>
            <w:gridSpan w:val="3"/>
          </w:tcPr>
          <w:p>
            <w:pPr>
              <w:ind w:left="500"/>
              <w:spacing w:after="0"/>
              <w:rPr>
                <w:sz w:val="20"/>
                <w:szCs w:val="20"/>
                <w:color w:val="auto"/>
              </w:rPr>
            </w:pPr>
            <w:r>
              <w:rPr>
                <w:rFonts w:ascii="Times New Roman" w:cs="Times New Roman" w:eastAsia="Times New Roman" w:hAnsi="Times New Roman"/>
                <w:sz w:val="11"/>
                <w:szCs w:val="11"/>
                <w:b w:val="1"/>
                <w:bCs w:val="1"/>
                <w:color w:val="auto"/>
              </w:rPr>
              <w:t>Incorporation by Reference</w:t>
            </w:r>
          </w:p>
        </w:tc>
        <w:tc>
          <w:tcPr>
            <w:tcW w:w="580" w:type="dxa"/>
            <w:vAlign w:val="bottom"/>
            <w:vMerge w:val="restart"/>
          </w:tcPr>
          <w:p>
            <w:pPr>
              <w:jc w:val="center"/>
              <w:ind w:left="85"/>
              <w:spacing w:after="0"/>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82"/>
        </w:trPr>
        <w:tc>
          <w:tcPr>
            <w:tcW w:w="4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Form</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4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580" w:type="dxa"/>
            <w:vAlign w:val="bottom"/>
          </w:tcPr>
          <w:p>
            <w:pPr>
              <w:jc w:val="center"/>
              <w:ind w:left="85"/>
              <w:spacing w:after="0"/>
              <w:rPr>
                <w:sz w:val="20"/>
                <w:szCs w:val="20"/>
                <w:color w:val="auto"/>
              </w:rPr>
            </w:pPr>
            <w:r>
              <w:rPr>
                <w:rFonts w:ascii="Times New Roman" w:cs="Times New Roman" w:eastAsia="Times New Roman" w:hAnsi="Times New Roman"/>
                <w:sz w:val="11"/>
                <w:szCs w:val="11"/>
                <w:b w:val="1"/>
                <w:bCs w:val="1"/>
                <w:color w:val="auto"/>
                <w:w w:val="99"/>
              </w:rPr>
              <w:t>Herewith</w:t>
            </w:r>
          </w:p>
        </w:tc>
        <w:tc>
          <w:tcPr>
            <w:tcW w:w="0" w:type="dxa"/>
            <w:vAlign w:val="bottom"/>
          </w:tcPr>
          <w:p>
            <w:pPr>
              <w:spacing w:after="0"/>
              <w:rPr>
                <w:sz w:val="1"/>
                <w:szCs w:val="1"/>
                <w:color w:val="auto"/>
              </w:rPr>
            </w:pPr>
          </w:p>
        </w:tc>
      </w:tr>
    </w:tbl>
    <w:p>
      <w:pPr>
        <w:spacing w:after="0" w:line="200" w:lineRule="exact"/>
        <w:rPr>
          <w:rFonts w:ascii="Times New Roman" w:cs="Times New Roman" w:eastAsia="Times New Roman" w:hAnsi="Times New Roman"/>
          <w:sz w:val="11"/>
          <w:szCs w:val="11"/>
          <w:color w:val="auto"/>
        </w:rPr>
      </w:pPr>
    </w:p>
    <w:p>
      <w:pPr>
        <w:spacing w:after="0" w:line="268" w:lineRule="exact"/>
        <w:rPr>
          <w:rFonts w:ascii="Times New Roman" w:cs="Times New Roman" w:eastAsia="Times New Roman" w:hAnsi="Times New Roman"/>
          <w:sz w:val="11"/>
          <w:szCs w:val="11"/>
          <w:color w:val="auto"/>
        </w:rPr>
      </w:pPr>
    </w:p>
    <w:tbl>
      <w:tblPr>
        <w:tblLayout w:type="fixed"/>
        <w:tblInd w:w="0" w:type="dxa"/>
        <w:tblCellMar>
          <w:top w:w="0" w:type="dxa"/>
          <w:left w:w="0" w:type="dxa"/>
          <w:bottom w:w="0" w:type="dxa"/>
          <w:right w:w="0" w:type="dxa"/>
        </w:tblCellMar>
      </w:tblPr>
      <w:tr>
        <w:trPr>
          <w:trHeight w:val="176"/>
        </w:trPr>
        <w:tc>
          <w:tcPr>
            <w:tcW w:w="40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w w:val="92"/>
              </w:rPr>
              <w:t>S-4</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333-276093</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2.1</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12/18/2023</w:t>
            </w:r>
          </w:p>
        </w:tc>
      </w:tr>
      <w:tr>
        <w:trPr>
          <w:trHeight w:val="410"/>
        </w:trPr>
        <w:tc>
          <w:tcPr>
            <w:tcW w:w="40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rPr>
              <w:t>8-K</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001-38433</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3.1</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04/03/2018</w:t>
            </w:r>
          </w:p>
        </w:tc>
      </w:tr>
      <w:tr>
        <w:trPr>
          <w:trHeight w:val="410"/>
        </w:trPr>
        <w:tc>
          <w:tcPr>
            <w:tcW w:w="40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rPr>
              <w:t>8-K</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001-38433</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3.1</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03/26/2024</w:t>
            </w:r>
          </w:p>
        </w:tc>
      </w:tr>
      <w:tr>
        <w:trPr>
          <w:trHeight w:val="492"/>
        </w:trPr>
        <w:tc>
          <w:tcPr>
            <w:tcW w:w="40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rPr>
              <w:t>8-K</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001-38433</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3.2</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03/26/2024</w:t>
            </w:r>
          </w:p>
        </w:tc>
      </w:tr>
      <w:tr>
        <w:trPr>
          <w:trHeight w:val="410"/>
        </w:trPr>
        <w:tc>
          <w:tcPr>
            <w:tcW w:w="40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rPr>
              <w:t>8-K</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001-38433</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3.1</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06/17/2025</w:t>
            </w:r>
          </w:p>
        </w:tc>
      </w:tr>
      <w:tr>
        <w:trPr>
          <w:trHeight w:val="328"/>
        </w:trPr>
        <w:tc>
          <w:tcPr>
            <w:tcW w:w="40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rPr>
              <w:t>8-K</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001-38433</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3.1</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12/18/2020</w:t>
            </w:r>
          </w:p>
        </w:tc>
      </w:tr>
      <w:tr>
        <w:trPr>
          <w:trHeight w:val="246"/>
        </w:trPr>
        <w:tc>
          <w:tcPr>
            <w:tcW w:w="400" w:type="dxa"/>
            <w:vAlign w:val="bottom"/>
          </w:tcPr>
          <w:p>
            <w:pPr>
              <w:jc w:val="center"/>
              <w:ind w:right="52"/>
              <w:spacing w:after="0"/>
              <w:rPr>
                <w:sz w:val="20"/>
                <w:szCs w:val="20"/>
                <w:color w:val="auto"/>
              </w:rPr>
            </w:pPr>
            <w:r>
              <w:rPr>
                <w:rFonts w:ascii="Times New Roman" w:cs="Times New Roman" w:eastAsia="Times New Roman" w:hAnsi="Times New Roman"/>
                <w:sz w:val="14"/>
                <w:szCs w:val="14"/>
                <w:color w:val="auto"/>
                <w:w w:val="97"/>
              </w:rPr>
              <w:t>10-K</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001-38433</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4.1</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03/10/2026</w:t>
            </w:r>
          </w:p>
        </w:tc>
      </w:tr>
    </w:tbl>
    <w:p>
      <w:pPr>
        <w:spacing w:after="0" w:line="70" w:lineRule="exact"/>
        <w:rPr>
          <w:rFonts w:ascii="Times New Roman" w:cs="Times New Roman" w:eastAsia="Times New Roman" w:hAnsi="Times New Roman"/>
          <w:sz w:val="11"/>
          <w:szCs w:val="11"/>
          <w:color w:val="auto"/>
        </w:rPr>
      </w:pPr>
    </w:p>
    <w:p>
      <w:pPr>
        <w:jc w:val="right"/>
        <w:ind w:right="519"/>
        <w:spacing w:after="0"/>
        <w:rPr>
          <w:sz w:val="20"/>
          <w:szCs w:val="20"/>
          <w:color w:val="auto"/>
        </w:rPr>
      </w:pPr>
      <w:r>
        <w:rPr>
          <w:rFonts w:ascii="Times New Roman" w:cs="Times New Roman" w:eastAsia="Times New Roman" w:hAnsi="Times New Roman"/>
          <w:sz w:val="14"/>
          <w:szCs w:val="14"/>
          <w:color w:val="auto"/>
        </w:rPr>
        <w:t>X</w:t>
      </w:r>
    </w:p>
    <w:p>
      <w:pPr>
        <w:spacing w:after="0" w:line="85" w:lineRule="exact"/>
        <w:rPr>
          <w:rFonts w:ascii="Times New Roman" w:cs="Times New Roman" w:eastAsia="Times New Roman" w:hAnsi="Times New Roman"/>
          <w:sz w:val="11"/>
          <w:szCs w:val="11"/>
          <w:color w:val="auto"/>
        </w:rPr>
      </w:pPr>
    </w:p>
    <w:p>
      <w:pPr>
        <w:jc w:val="right"/>
        <w:ind w:right="519"/>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rFonts w:ascii="Times New Roman" w:cs="Times New Roman" w:eastAsia="Times New Roman" w:hAnsi="Times New Roman"/>
          <w:sz w:val="11"/>
          <w:szCs w:val="11"/>
          <w:color w:val="auto"/>
        </w:rPr>
      </w:pPr>
    </w:p>
    <w:p>
      <w:pPr>
        <w:spacing w:after="0" w:line="200" w:lineRule="exact"/>
        <w:rPr>
          <w:rFonts w:ascii="Times New Roman" w:cs="Times New Roman" w:eastAsia="Times New Roman" w:hAnsi="Times New Roman"/>
          <w:sz w:val="11"/>
          <w:szCs w:val="11"/>
          <w:color w:val="auto"/>
        </w:rPr>
      </w:pPr>
    </w:p>
    <w:p>
      <w:pPr>
        <w:spacing w:after="0" w:line="200" w:lineRule="exact"/>
        <w:rPr>
          <w:rFonts w:ascii="Times New Roman" w:cs="Times New Roman" w:eastAsia="Times New Roman" w:hAnsi="Times New Roman"/>
          <w:sz w:val="11"/>
          <w:szCs w:val="11"/>
          <w:color w:val="auto"/>
        </w:rPr>
      </w:pPr>
    </w:p>
    <w:p>
      <w:pPr>
        <w:spacing w:after="0" w:line="200" w:lineRule="exact"/>
        <w:rPr>
          <w:rFonts w:ascii="Times New Roman" w:cs="Times New Roman" w:eastAsia="Times New Roman" w:hAnsi="Times New Roman"/>
          <w:sz w:val="11"/>
          <w:szCs w:val="11"/>
          <w:color w:val="auto"/>
        </w:rPr>
      </w:pPr>
    </w:p>
    <w:p>
      <w:pPr>
        <w:spacing w:after="0" w:line="270" w:lineRule="exact"/>
        <w:rPr>
          <w:rFonts w:ascii="Times New Roman" w:cs="Times New Roman" w:eastAsia="Times New Roman" w:hAnsi="Times New Roman"/>
          <w:sz w:val="11"/>
          <w:szCs w:val="11"/>
          <w:color w:val="auto"/>
        </w:rPr>
      </w:pPr>
    </w:p>
    <w:tbl>
      <w:tblPr>
        <w:tblLayout w:type="fixed"/>
        <w:tblInd w:w="40" w:type="dxa"/>
        <w:tblCellMar>
          <w:top w:w="0" w:type="dxa"/>
          <w:left w:w="0" w:type="dxa"/>
          <w:bottom w:w="0" w:type="dxa"/>
          <w:right w:w="0" w:type="dxa"/>
        </w:tblCellMar>
      </w:tblPr>
      <w:tr>
        <w:trPr>
          <w:trHeight w:val="176"/>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001-38433</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4.1</w:t>
            </w:r>
          </w:p>
        </w:tc>
        <w:tc>
          <w:tcPr>
            <w:tcW w:w="1240" w:type="dxa"/>
            <w:vAlign w:val="bottom"/>
          </w:tcPr>
          <w:p>
            <w:pPr>
              <w:jc w:val="center"/>
              <w:ind w:right="332"/>
              <w:spacing w:after="0"/>
              <w:rPr>
                <w:sz w:val="20"/>
                <w:szCs w:val="20"/>
                <w:color w:val="auto"/>
              </w:rPr>
            </w:pPr>
            <w:r>
              <w:rPr>
                <w:rFonts w:ascii="Times New Roman" w:cs="Times New Roman" w:eastAsia="Times New Roman" w:hAnsi="Times New Roman"/>
                <w:sz w:val="14"/>
                <w:szCs w:val="14"/>
                <w:color w:val="auto"/>
                <w:w w:val="98"/>
              </w:rPr>
              <w:t>5/27/2026</w:t>
            </w:r>
          </w:p>
        </w:tc>
      </w:tr>
      <w:tr>
        <w:trPr>
          <w:trHeight w:val="246"/>
        </w:trPr>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ind w:left="1140"/>
              <w:spacing w:after="0"/>
              <w:rPr>
                <w:sz w:val="20"/>
                <w:szCs w:val="20"/>
                <w:color w:val="auto"/>
              </w:rPr>
            </w:pPr>
            <w:r>
              <w:rPr>
                <w:rFonts w:ascii="Times New Roman" w:cs="Times New Roman" w:eastAsia="Times New Roman" w:hAnsi="Times New Roman"/>
                <w:sz w:val="14"/>
                <w:szCs w:val="14"/>
                <w:color w:val="auto"/>
                <w:w w:val="78"/>
              </w:rPr>
              <w:t>X</w:t>
            </w:r>
          </w:p>
        </w:tc>
      </w:tr>
      <w:tr>
        <w:trPr>
          <w:trHeight w:val="328"/>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001-38433</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240" w:type="dxa"/>
            <w:vAlign w:val="bottom"/>
          </w:tcPr>
          <w:p>
            <w:pPr>
              <w:jc w:val="center"/>
              <w:ind w:right="312"/>
              <w:spacing w:after="0"/>
              <w:rPr>
                <w:sz w:val="20"/>
                <w:szCs w:val="20"/>
                <w:color w:val="auto"/>
              </w:rPr>
            </w:pPr>
            <w:r>
              <w:rPr>
                <w:rFonts w:ascii="Times New Roman" w:cs="Times New Roman" w:eastAsia="Times New Roman" w:hAnsi="Times New Roman"/>
                <w:sz w:val="14"/>
                <w:szCs w:val="14"/>
                <w:color w:val="auto"/>
                <w:w w:val="97"/>
              </w:rPr>
              <w:t>03/26/2024</w:t>
            </w:r>
          </w:p>
        </w:tc>
      </w:tr>
      <w:tr>
        <w:trPr>
          <w:trHeight w:val="328"/>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001-38433</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240" w:type="dxa"/>
            <w:vAlign w:val="bottom"/>
          </w:tcPr>
          <w:p>
            <w:pPr>
              <w:jc w:val="center"/>
              <w:ind w:right="312"/>
              <w:spacing w:after="0"/>
              <w:rPr>
                <w:sz w:val="20"/>
                <w:szCs w:val="20"/>
                <w:color w:val="auto"/>
              </w:rPr>
            </w:pPr>
            <w:r>
              <w:rPr>
                <w:rFonts w:ascii="Times New Roman" w:cs="Times New Roman" w:eastAsia="Times New Roman" w:hAnsi="Times New Roman"/>
                <w:sz w:val="14"/>
                <w:szCs w:val="14"/>
                <w:color w:val="auto"/>
                <w:w w:val="97"/>
              </w:rPr>
              <w:t>05/27/2026</w:t>
            </w:r>
          </w:p>
        </w:tc>
      </w:tr>
      <w:tr>
        <w:trPr>
          <w:trHeight w:val="246"/>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001-38433</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10.13</w:t>
            </w:r>
          </w:p>
        </w:tc>
        <w:tc>
          <w:tcPr>
            <w:tcW w:w="1240" w:type="dxa"/>
            <w:vAlign w:val="bottom"/>
          </w:tcPr>
          <w:p>
            <w:pPr>
              <w:jc w:val="center"/>
              <w:ind w:right="312"/>
              <w:spacing w:after="0"/>
              <w:rPr>
                <w:sz w:val="20"/>
                <w:szCs w:val="20"/>
                <w:color w:val="auto"/>
              </w:rPr>
            </w:pPr>
            <w:r>
              <w:rPr>
                <w:rFonts w:ascii="Times New Roman" w:cs="Times New Roman" w:eastAsia="Times New Roman" w:hAnsi="Times New Roman"/>
                <w:sz w:val="14"/>
                <w:szCs w:val="14"/>
                <w:color w:val="auto"/>
                <w:w w:val="97"/>
              </w:rPr>
              <w:t>03/26/2024</w:t>
            </w:r>
          </w:p>
        </w:tc>
      </w:tr>
      <w:tr>
        <w:trPr>
          <w:trHeight w:val="246"/>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001-38433</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10.14</w:t>
            </w:r>
          </w:p>
        </w:tc>
        <w:tc>
          <w:tcPr>
            <w:tcW w:w="1240" w:type="dxa"/>
            <w:vAlign w:val="bottom"/>
          </w:tcPr>
          <w:p>
            <w:pPr>
              <w:jc w:val="center"/>
              <w:ind w:right="312"/>
              <w:spacing w:after="0"/>
              <w:rPr>
                <w:sz w:val="20"/>
                <w:szCs w:val="20"/>
                <w:color w:val="auto"/>
              </w:rPr>
            </w:pPr>
            <w:r>
              <w:rPr>
                <w:rFonts w:ascii="Times New Roman" w:cs="Times New Roman" w:eastAsia="Times New Roman" w:hAnsi="Times New Roman"/>
                <w:sz w:val="14"/>
                <w:szCs w:val="14"/>
                <w:color w:val="auto"/>
                <w:w w:val="97"/>
              </w:rPr>
              <w:t>03/26/2024</w:t>
            </w:r>
          </w:p>
        </w:tc>
      </w:tr>
      <w:tr>
        <w:trPr>
          <w:trHeight w:val="328"/>
        </w:trPr>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ind w:left="1140"/>
              <w:spacing w:after="0"/>
              <w:rPr>
                <w:sz w:val="20"/>
                <w:szCs w:val="20"/>
                <w:color w:val="auto"/>
              </w:rPr>
            </w:pPr>
            <w:r>
              <w:rPr>
                <w:rFonts w:ascii="Times New Roman" w:cs="Times New Roman" w:eastAsia="Times New Roman" w:hAnsi="Times New Roman"/>
                <w:sz w:val="14"/>
                <w:szCs w:val="14"/>
                <w:color w:val="auto"/>
                <w:w w:val="78"/>
              </w:rPr>
              <w:t>X</w:t>
            </w:r>
          </w:p>
        </w:tc>
      </w:tr>
    </w:tbl>
    <w:p>
      <w:pPr>
        <w:sectPr>
          <w:pgSz w:w="11900" w:h="16838" w:orient="portrait"/>
          <w:cols w:equalWidth="0" w:num="2">
            <w:col w:w="6320" w:space="240"/>
            <w:col w:w="3599"/>
          </w:cols>
          <w:pgMar w:left="300" w:top="379"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7" w:lineRule="exact"/>
        <w:rPr>
          <w:sz w:val="20"/>
          <w:szCs w:val="20"/>
          <w:color w:val="auto"/>
        </w:rPr>
      </w:pPr>
    </w:p>
    <w:tbl>
      <w:tblPr>
        <w:tblLayout w:type="fixed"/>
        <w:tblInd w:w="1460" w:type="dxa"/>
        <w:tblCellMar>
          <w:top w:w="0" w:type="dxa"/>
          <w:left w:w="0" w:type="dxa"/>
          <w:bottom w:w="0" w:type="dxa"/>
          <w:right w:w="0" w:type="dxa"/>
        </w:tblCellMar>
      </w:tblPr>
      <w:tr>
        <w:trPr>
          <w:trHeight w:val="143"/>
        </w:trPr>
        <w:tc>
          <w:tcPr>
            <w:tcW w:w="1380" w:type="dxa"/>
            <w:vAlign w:val="bottom"/>
            <w:vMerge w:val="restart"/>
          </w:tcPr>
          <w:p>
            <w:pPr>
              <w:jc w:val="center"/>
              <w:ind w:right="945"/>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2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Incorporation by Reference</w:t>
            </w:r>
          </w:p>
        </w:tc>
        <w:tc>
          <w:tcPr>
            <w:tcW w:w="640" w:type="dxa"/>
            <w:vAlign w:val="bottom"/>
            <w:vMerge w:val="restart"/>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w w:val="92"/>
              </w:rPr>
              <w:t>Filed</w:t>
            </w:r>
          </w:p>
        </w:tc>
        <w:tc>
          <w:tcPr>
            <w:tcW w:w="0" w:type="dxa"/>
            <w:vAlign w:val="bottom"/>
          </w:tcPr>
          <w:p>
            <w:pPr>
              <w:spacing w:after="0"/>
              <w:rPr>
                <w:sz w:val="1"/>
                <w:szCs w:val="1"/>
                <w:color w:val="auto"/>
              </w:rPr>
            </w:pPr>
          </w:p>
        </w:tc>
      </w:tr>
      <w:tr>
        <w:trPr>
          <w:trHeight w:val="82"/>
        </w:trPr>
        <w:tc>
          <w:tcPr>
            <w:tcW w:w="1380" w:type="dxa"/>
            <w:vAlign w:val="bottom"/>
            <w:vMerge w:val="continue"/>
          </w:tcPr>
          <w:p>
            <w:pPr>
              <w:spacing w:after="0"/>
              <w:rPr>
                <w:sz w:val="7"/>
                <w:szCs w:val="7"/>
                <w:color w:val="auto"/>
              </w:rPr>
            </w:pPr>
          </w:p>
        </w:tc>
        <w:tc>
          <w:tcPr>
            <w:tcW w:w="2460" w:type="dxa"/>
            <w:vAlign w:val="bottom"/>
            <w:vMerge w:val="restart"/>
          </w:tcPr>
          <w:p>
            <w:pPr>
              <w:ind w:left="100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400" w:type="dxa"/>
            <w:vAlign w:val="bottom"/>
            <w:vMerge w:val="restart"/>
          </w:tcPr>
          <w:p>
            <w:pPr>
              <w:ind w:left="940"/>
              <w:spacing w:after="0"/>
              <w:rPr>
                <w:sz w:val="20"/>
                <w:szCs w:val="20"/>
                <w:color w:val="auto"/>
              </w:rPr>
            </w:pPr>
            <w:r>
              <w:rPr>
                <w:rFonts w:ascii="Times New Roman" w:cs="Times New Roman" w:eastAsia="Times New Roman" w:hAnsi="Times New Roman"/>
                <w:sz w:val="11"/>
                <w:szCs w:val="11"/>
                <w:b w:val="1"/>
                <w:bCs w:val="1"/>
                <w:color w:val="auto"/>
              </w:rPr>
              <w:t>Form</w:t>
            </w:r>
          </w:p>
        </w:tc>
        <w:tc>
          <w:tcPr>
            <w:tcW w:w="620" w:type="dxa"/>
            <w:vAlign w:val="bottom"/>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9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940" w:type="dxa"/>
            <w:vAlign w:val="bottom"/>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1380" w:type="dxa"/>
            <w:vAlign w:val="bottom"/>
          </w:tcPr>
          <w:p>
            <w:pPr>
              <w:jc w:val="center"/>
              <w:ind w:right="945"/>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246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64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w w:val="95"/>
              </w:rPr>
              <w:t>Herewith</w:t>
            </w:r>
          </w:p>
        </w:tc>
        <w:tc>
          <w:tcPr>
            <w:tcW w:w="0" w:type="dxa"/>
            <w:vAlign w:val="bottom"/>
          </w:tcPr>
          <w:p>
            <w:pPr>
              <w:spacing w:after="0"/>
              <w:rPr>
                <w:sz w:val="1"/>
                <w:szCs w:val="1"/>
                <w:color w:val="auto"/>
              </w:rPr>
            </w:pPr>
          </w:p>
        </w:tc>
      </w:tr>
    </w:tbl>
    <w:p>
      <w:pPr>
        <w:spacing w:after="0" w:line="43" w:lineRule="exact"/>
        <w:rPr>
          <w:sz w:val="20"/>
          <w:szCs w:val="20"/>
          <w:color w:val="auto"/>
        </w:rPr>
      </w:pPr>
    </w:p>
    <w:p>
      <w:pPr>
        <w:sectPr>
          <w:pgSz w:w="11900" w:h="16838" w:orient="portrait"/>
          <w:cols w:equalWidth="0" w:num="1">
            <w:col w:w="10159"/>
          </w:cols>
          <w:pgMar w:left="300" w:top="379" w:right="1440" w:bottom="1440" w:gutter="0" w:footer="0" w:header="0"/>
        </w:sectPr>
      </w:pPr>
    </w:p>
    <w:tbl>
      <w:tblPr>
        <w:tblLayout w:type="fixed"/>
        <w:tblInd w:w="1460" w:type="dxa"/>
        <w:tblCellMar>
          <w:top w:w="0" w:type="dxa"/>
          <w:left w:w="0" w:type="dxa"/>
          <w:bottom w:w="0" w:type="dxa"/>
          <w:right w:w="0" w:type="dxa"/>
        </w:tblCellMar>
      </w:tblPr>
      <w:tr>
        <w:trPr>
          <w:trHeight w:val="161"/>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  23.2</w:t>
            </w:r>
          </w:p>
        </w:tc>
        <w:tc>
          <w:tcPr>
            <w:tcW w:w="3300" w:type="dxa"/>
            <w:vAlign w:val="bottom"/>
            <w:gridSpan w:val="5"/>
          </w:tcPr>
          <w:p>
            <w:pPr>
              <w:spacing w:after="0"/>
              <w:rPr>
                <w:sz w:val="20"/>
                <w:szCs w:val="20"/>
                <w:color w:val="auto"/>
              </w:rPr>
            </w:pPr>
            <w:r>
              <w:rPr>
                <w:rFonts w:ascii="Times New Roman" w:cs="Times New Roman" w:eastAsia="Times New Roman" w:hAnsi="Times New Roman"/>
                <w:sz w:val="14"/>
                <w:szCs w:val="14"/>
                <w:color w:val="0000EE"/>
              </w:rPr>
              <w:t>Consent of Goodwin Procter LLP (included in Exhibit 5.1</w:t>
            </w:r>
          </w:p>
        </w:tc>
      </w:tr>
      <w:tr>
        <w:trPr>
          <w:trHeight w:val="144"/>
        </w:trPr>
        <w:tc>
          <w:tcPr>
            <w:tcW w:w="940" w:type="dxa"/>
            <w:vAlign w:val="bottom"/>
          </w:tcPr>
          <w:p>
            <w:pPr>
              <w:spacing w:after="0"/>
              <w:rPr>
                <w:sz w:val="12"/>
                <w:szCs w:val="12"/>
                <w:color w:val="auto"/>
              </w:rPr>
            </w:pPr>
          </w:p>
        </w:tc>
        <w:tc>
          <w:tcPr>
            <w:tcW w:w="3180" w:type="dxa"/>
            <w:vAlign w:val="bottom"/>
            <w:tcBorders>
              <w:top w:val="single" w:sz="8" w:color="0000EE"/>
            </w:tcBorders>
            <w:gridSpan w:val="4"/>
          </w:tcPr>
          <w:p>
            <w:pPr>
              <w:spacing w:after="0" w:line="144" w:lineRule="exact"/>
              <w:rPr>
                <w:sz w:val="20"/>
                <w:szCs w:val="20"/>
                <w:color w:val="auto"/>
              </w:rPr>
            </w:pPr>
            <w:r>
              <w:rPr>
                <w:rFonts w:ascii="Times New Roman" w:cs="Times New Roman" w:eastAsia="Times New Roman" w:hAnsi="Times New Roman"/>
                <w:sz w:val="14"/>
                <w:szCs w:val="14"/>
                <w:color w:val="0000EE"/>
              </w:rPr>
              <w:t>hereto).</w:t>
            </w:r>
          </w:p>
        </w:tc>
        <w:tc>
          <w:tcPr>
            <w:tcW w:w="12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26"/>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  24.1</w:t>
            </w:r>
          </w:p>
        </w:tc>
        <w:tc>
          <w:tcPr>
            <w:tcW w:w="3300" w:type="dxa"/>
            <w:vAlign w:val="bottom"/>
            <w:gridSpan w:val="5"/>
          </w:tcPr>
          <w:p>
            <w:pPr>
              <w:spacing w:after="0"/>
              <w:rPr>
                <w:sz w:val="20"/>
                <w:szCs w:val="20"/>
                <w:color w:val="auto"/>
              </w:rPr>
            </w:pPr>
            <w:r>
              <w:rPr>
                <w:rFonts w:ascii="Times New Roman" w:cs="Times New Roman" w:eastAsia="Times New Roman" w:hAnsi="Times New Roman"/>
                <w:sz w:val="14"/>
                <w:szCs w:val="14"/>
                <w:color w:val="0000EE"/>
              </w:rPr>
              <w:t>Power of Attorney (included on the signature page of this</w:t>
            </w:r>
          </w:p>
        </w:tc>
      </w:tr>
      <w:tr>
        <w:trPr>
          <w:trHeight w:val="144"/>
        </w:trPr>
        <w:tc>
          <w:tcPr>
            <w:tcW w:w="940" w:type="dxa"/>
            <w:vAlign w:val="bottom"/>
          </w:tcPr>
          <w:p>
            <w:pPr>
              <w:spacing w:after="0"/>
              <w:rPr>
                <w:sz w:val="12"/>
                <w:szCs w:val="12"/>
                <w:color w:val="auto"/>
              </w:rPr>
            </w:pPr>
          </w:p>
        </w:tc>
        <w:tc>
          <w:tcPr>
            <w:tcW w:w="1340" w:type="dxa"/>
            <w:vAlign w:val="bottom"/>
            <w:tcBorders>
              <w:top w:val="single" w:sz="8" w:color="0000EE"/>
              <w:bottom w:val="single" w:sz="8" w:color="0000EE"/>
            </w:tcBorders>
            <w:gridSpan w:val="2"/>
          </w:tcPr>
          <w:p>
            <w:pPr>
              <w:spacing w:after="0" w:line="144" w:lineRule="exact"/>
              <w:rPr>
                <w:sz w:val="20"/>
                <w:szCs w:val="20"/>
                <w:color w:val="auto"/>
              </w:rPr>
            </w:pPr>
            <w:r>
              <w:rPr>
                <w:rFonts w:ascii="Times New Roman" w:cs="Times New Roman" w:eastAsia="Times New Roman" w:hAnsi="Times New Roman"/>
                <w:sz w:val="14"/>
                <w:szCs w:val="14"/>
                <w:color w:val="0000EE"/>
                <w:w w:val="96"/>
              </w:rPr>
              <w:t>Registration Statement).</w:t>
            </w:r>
          </w:p>
        </w:tc>
        <w:tc>
          <w:tcPr>
            <w:tcW w:w="1800" w:type="dxa"/>
            <w:vAlign w:val="bottom"/>
            <w:tcBorders>
              <w:top w:val="single" w:sz="8" w:color="0000EE"/>
            </w:tcBorders>
          </w:tcPr>
          <w:p>
            <w:pPr>
              <w:spacing w:after="0"/>
              <w:rPr>
                <w:sz w:val="12"/>
                <w:szCs w:val="12"/>
                <w:color w:val="auto"/>
              </w:rPr>
            </w:pPr>
          </w:p>
        </w:tc>
        <w:tc>
          <w:tcPr>
            <w:tcW w:w="160" w:type="dxa"/>
            <w:vAlign w:val="bottom"/>
            <w:gridSpan w:val="2"/>
          </w:tcPr>
          <w:p>
            <w:pPr>
              <w:spacing w:after="0"/>
              <w:rPr>
                <w:sz w:val="12"/>
                <w:szCs w:val="12"/>
                <w:color w:val="auto"/>
              </w:rPr>
            </w:pPr>
          </w:p>
        </w:tc>
      </w:tr>
      <w:tr>
        <w:trPr>
          <w:trHeight w:val="24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  25.1†</w:t>
            </w:r>
          </w:p>
        </w:tc>
        <w:tc>
          <w:tcPr>
            <w:tcW w:w="3300" w:type="dxa"/>
            <w:vAlign w:val="bottom"/>
            <w:gridSpan w:val="5"/>
          </w:tcPr>
          <w:p>
            <w:pPr>
              <w:spacing w:after="0"/>
              <w:rPr>
                <w:sz w:val="20"/>
                <w:szCs w:val="20"/>
                <w:color w:val="auto"/>
              </w:rPr>
            </w:pPr>
            <w:r>
              <w:rPr>
                <w:rFonts w:ascii="Times New Roman" w:cs="Times New Roman" w:eastAsia="Times New Roman" w:hAnsi="Times New Roman"/>
                <w:sz w:val="14"/>
                <w:szCs w:val="14"/>
                <w:color w:val="auto"/>
                <w:w w:val="96"/>
              </w:rPr>
              <w:t>Form T-1 Statement of Eligibility of Trustee for Senior Debt</w:t>
            </w:r>
          </w:p>
        </w:tc>
      </w:tr>
      <w:tr>
        <w:trPr>
          <w:trHeight w:val="176"/>
        </w:trPr>
        <w:tc>
          <w:tcPr>
            <w:tcW w:w="940" w:type="dxa"/>
            <w:vAlign w:val="bottom"/>
          </w:tcPr>
          <w:p>
            <w:pPr>
              <w:spacing w:after="0"/>
              <w:rPr>
                <w:sz w:val="15"/>
                <w:szCs w:val="15"/>
                <w:color w:val="auto"/>
              </w:rPr>
            </w:pPr>
          </w:p>
        </w:tc>
        <w:tc>
          <w:tcPr>
            <w:tcW w:w="33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Indenture under the Trust Indenture Act of 1939.</w:t>
            </w:r>
          </w:p>
        </w:tc>
      </w:tr>
    </w:tbl>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588" w:lineRule="exact"/>
        <w:rPr>
          <w:sz w:val="20"/>
          <w:szCs w:val="20"/>
          <w:color w:val="auto"/>
        </w:rPr>
      </w:pPr>
    </w:p>
    <w:p>
      <w:pPr>
        <w:sectPr>
          <w:pgSz w:w="11900" w:h="16838" w:orient="portrait"/>
          <w:cols w:equalWidth="0" w:num="2">
            <w:col w:w="8840" w:space="720"/>
            <w:col w:w="599"/>
          </w:cols>
          <w:pgMar w:left="300" w:top="379" w:right="1440" w:bottom="1440" w:gutter="0" w:footer="0" w:header="0"/>
          <w:type w:val="continuous"/>
        </w:sectPr>
      </w:pPr>
    </w:p>
    <w:tbl>
      <w:tblPr>
        <w:tblLayout w:type="fixed"/>
        <w:tblInd w:w="1460" w:type="dxa"/>
        <w:tblCellMar>
          <w:top w:w="0" w:type="dxa"/>
          <w:left w:w="0" w:type="dxa"/>
          <w:bottom w:w="0" w:type="dxa"/>
          <w:right w:w="0" w:type="dxa"/>
        </w:tblCellMar>
      </w:tblPr>
      <w:tr>
        <w:trPr>
          <w:trHeight w:val="16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  25.2†</w:t>
            </w:r>
          </w:p>
        </w:tc>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Form T-1 Statement of Eligibility of Trustee for Subordinated</w:t>
            </w:r>
          </w:p>
        </w:tc>
        <w:tc>
          <w:tcPr>
            <w:tcW w:w="2000" w:type="dxa"/>
            <w:vAlign w:val="bottom"/>
          </w:tcPr>
          <w:p>
            <w:pPr>
              <w:spacing w:after="0"/>
              <w:rPr>
                <w:sz w:val="14"/>
                <w:szCs w:val="14"/>
                <w:color w:val="auto"/>
              </w:rPr>
            </w:pPr>
          </w:p>
        </w:tc>
      </w:tr>
      <w:tr>
        <w:trPr>
          <w:trHeight w:val="176"/>
        </w:trPr>
        <w:tc>
          <w:tcPr>
            <w:tcW w:w="940" w:type="dxa"/>
            <w:vAlign w:val="bottom"/>
          </w:tcPr>
          <w:p>
            <w:pPr>
              <w:spacing w:after="0"/>
              <w:rPr>
                <w:sz w:val="15"/>
                <w:szCs w:val="15"/>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Debt Indenture under the Trust Indenture Act of 1939.</w:t>
            </w:r>
          </w:p>
        </w:tc>
        <w:tc>
          <w:tcPr>
            <w:tcW w:w="2000" w:type="dxa"/>
            <w:vAlign w:val="bottom"/>
          </w:tcPr>
          <w:p>
            <w:pPr>
              <w:spacing w:after="0"/>
              <w:rPr>
                <w:sz w:val="15"/>
                <w:szCs w:val="15"/>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5"/>
              </w:rPr>
              <w:t>Filing Fee Table</w:t>
            </w:r>
          </w:p>
        </w:tc>
        <w:tc>
          <w:tcPr>
            <w:tcW w:w="4360" w:type="dxa"/>
            <w:vAlign w:val="bottom"/>
          </w:tcPr>
          <w:p>
            <w:pPr>
              <w:spacing w:after="0"/>
              <w:rPr>
                <w:sz w:val="18"/>
                <w:szCs w:val="18"/>
                <w:color w:val="auto"/>
              </w:rPr>
            </w:pPr>
          </w:p>
        </w:tc>
        <w:tc>
          <w:tcPr>
            <w:tcW w:w="2000" w:type="dxa"/>
            <w:vAlign w:val="bottom"/>
          </w:tcPr>
          <w:p>
            <w:pPr>
              <w:ind w:left="1900"/>
              <w:spacing w:after="0"/>
              <w:rPr>
                <w:sz w:val="20"/>
                <w:szCs w:val="20"/>
                <w:color w:val="auto"/>
              </w:rPr>
            </w:pPr>
            <w:r>
              <w:rPr>
                <w:rFonts w:ascii="Times New Roman" w:cs="Times New Roman" w:eastAsia="Times New Roman" w:hAnsi="Times New Roman"/>
                <w:sz w:val="14"/>
                <w:szCs w:val="14"/>
                <w:color w:val="auto"/>
                <w:w w:val="78"/>
              </w:rPr>
              <w:t>X</w:t>
            </w:r>
          </w:p>
        </w:tc>
      </w:tr>
    </w:tbl>
    <w:p>
      <w:pPr>
        <w:spacing w:after="0" w:line="192" w:lineRule="exact"/>
        <w:rPr>
          <w:sz w:val="20"/>
          <w:szCs w:val="20"/>
          <w:color w:val="auto"/>
        </w:rPr>
      </w:pPr>
    </w:p>
    <w:p>
      <w:pPr>
        <w:ind w:left="1780" w:hanging="321"/>
        <w:spacing w:after="0"/>
        <w:tabs>
          <w:tab w:leader="none" w:pos="17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Annexes, schedules and exhibits have been omitted pursuant to Item 601(b)(2) or 601(a)(5), as applicable, of Regulation S-K. The registrant</w:t>
      </w:r>
    </w:p>
    <w:p>
      <w:pPr>
        <w:spacing w:after="0" w:line="1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agrees to furnish supplementally a copy of any omitted attachment to the SEC on a confidential basis upon request.</w:t>
      </w:r>
    </w:p>
    <w:p>
      <w:pPr>
        <w:spacing w:after="0" w:line="3" w:lineRule="exact"/>
        <w:rPr>
          <w:sz w:val="20"/>
          <w:szCs w:val="20"/>
          <w:color w:val="auto"/>
        </w:rPr>
      </w:pPr>
    </w:p>
    <w:p>
      <w:pPr>
        <w:ind w:left="1780" w:hanging="321"/>
        <w:spacing w:after="0"/>
        <w:tabs>
          <w:tab w:leader="none" w:pos="17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be filed by amendment or by a report filed under the Securities Exchange Act of 1934, as amended, and incorporated herein by reference, if</w:t>
      </w:r>
    </w:p>
    <w:p>
      <w:pPr>
        <w:spacing w:after="0" w:line="1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applicable.</w:t>
      </w:r>
    </w:p>
    <w:p>
      <w:pPr>
        <w:spacing w:after="0" w:line="3" w:lineRule="exact"/>
        <w:rPr>
          <w:sz w:val="20"/>
          <w:szCs w:val="20"/>
          <w:color w:val="auto"/>
        </w:rPr>
      </w:pPr>
    </w:p>
    <w:p>
      <w:pPr>
        <w:ind w:left="1780" w:hanging="321"/>
        <w:spacing w:after="0"/>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pursuant to Section 305(b)(2) of the U.S. Trust Indenture Act of 1939, as applicable.</w:t>
      </w:r>
    </w:p>
    <w:p>
      <w:pPr>
        <w:spacing w:after="0" w:line="23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8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(a) The undersigned registrant hereby undertakes:</w:t>
      </w:r>
    </w:p>
    <w:p>
      <w:pPr>
        <w:spacing w:after="0" w:line="85" w:lineRule="exact"/>
        <w:rPr>
          <w:sz w:val="20"/>
          <w:szCs w:val="20"/>
          <w:color w:val="auto"/>
        </w:rPr>
      </w:pPr>
    </w:p>
    <w:p>
      <w:pPr>
        <w:ind w:left="1660" w:hanging="201"/>
        <w:spacing w:after="0"/>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85" w:lineRule="exact"/>
        <w:rPr>
          <w:rFonts w:ascii="Times New Roman" w:cs="Times New Roman" w:eastAsia="Times New Roman" w:hAnsi="Times New Roman"/>
          <w:sz w:val="14"/>
          <w:szCs w:val="14"/>
          <w:color w:val="auto"/>
        </w:rPr>
      </w:pPr>
    </w:p>
    <w:p>
      <w:pPr>
        <w:ind w:left="1960" w:hanging="167"/>
        <w:spacing w:after="0"/>
        <w:tabs>
          <w:tab w:leader="none" w:pos="19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67" w:lineRule="exact"/>
        <w:rPr>
          <w:rFonts w:ascii="Times New Roman" w:cs="Times New Roman" w:eastAsia="Times New Roman" w:hAnsi="Times New Roman"/>
          <w:sz w:val="14"/>
          <w:szCs w:val="14"/>
          <w:color w:val="auto"/>
        </w:rPr>
      </w:pPr>
    </w:p>
    <w:p>
      <w:pPr>
        <w:ind w:left="1460" w:right="379" w:firstLine="333"/>
        <w:spacing w:after="0" w:line="271" w:lineRule="auto"/>
        <w:tabs>
          <w:tab w:leader="none" w:pos="1996"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36" w:lineRule="exact"/>
        <w:rPr>
          <w:rFonts w:ascii="Times New Roman" w:cs="Times New Roman" w:eastAsia="Times New Roman" w:hAnsi="Times New Roman"/>
          <w:sz w:val="13"/>
          <w:szCs w:val="13"/>
          <w:color w:val="auto"/>
        </w:rPr>
      </w:pPr>
    </w:p>
    <w:p>
      <w:pPr>
        <w:ind w:left="1460" w:right="759" w:firstLine="333"/>
        <w:spacing w:after="0" w:line="266" w:lineRule="auto"/>
        <w:tabs>
          <w:tab w:leader="none" w:pos="2034"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however</w:t>
      </w:r>
      <w:r>
        <w:rPr>
          <w:rFonts w:ascii="Times New Roman" w:cs="Times New Roman" w:eastAsia="Times New Roman" w:hAnsi="Times New Roman"/>
          <w:sz w:val="13"/>
          <w:szCs w:val="13"/>
          <w:color w:val="auto"/>
        </w:rPr>
        <w:t>, that: Paragraphs (a)(1)(i), (a)(1)(ii) and (a)(1)(iii) of this section do not apply if the information required to be included in a post-</w:t>
      </w:r>
    </w:p>
    <w:p>
      <w:pPr>
        <w:spacing w:after="0" w:line="3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effective amendment by those paragraphs is contained in reports filed with or furnished to the SEC by the registrant pursuant to Section 13 or</w:t>
      </w:r>
    </w:p>
    <w:p>
      <w:pPr>
        <w:spacing w:after="0" w:line="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color w:val="auto"/>
        </w:rPr>
        <w:t>Section 15(d) of the Exchange Act, that are incorporated by reference in the registration statement, or is contained in a form of prospectus filed pursuant</w:t>
      </w:r>
    </w:p>
    <w:p>
      <w:pPr>
        <w:spacing w:after="0" w:line="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to Rule 424(b) that is part of the registration statement.</w:t>
      </w:r>
    </w:p>
    <w:p>
      <w:pPr>
        <w:spacing w:after="0" w:line="156" w:lineRule="exact"/>
        <w:rPr>
          <w:sz w:val="20"/>
          <w:szCs w:val="20"/>
          <w:color w:val="auto"/>
        </w:rPr>
      </w:pPr>
    </w:p>
    <w:p>
      <w:pPr>
        <w:ind w:left="1460" w:right="439" w:hanging="1"/>
        <w:spacing w:after="0" w:line="255" w:lineRule="auto"/>
        <w:tabs>
          <w:tab w:leader="none" w:pos="165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79" w:right="1440"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1460" w:right="339" w:hanging="1"/>
        <w:spacing w:after="0" w:line="266" w:lineRule="auto"/>
        <w:tabs>
          <w:tab w:leader="none" w:pos="165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35" w:lineRule="exact"/>
        <w:rPr>
          <w:rFonts w:ascii="Times New Roman" w:cs="Times New Roman" w:eastAsia="Times New Roman" w:hAnsi="Times New Roman"/>
          <w:sz w:val="14"/>
          <w:szCs w:val="14"/>
          <w:color w:val="auto"/>
        </w:rPr>
      </w:pPr>
    </w:p>
    <w:p>
      <w:pPr>
        <w:ind w:left="1660" w:hanging="201"/>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85" w:lineRule="exact"/>
        <w:rPr>
          <w:rFonts w:ascii="Times New Roman" w:cs="Times New Roman" w:eastAsia="Times New Roman" w:hAnsi="Times New Roman"/>
          <w:sz w:val="14"/>
          <w:szCs w:val="14"/>
          <w:color w:val="auto"/>
        </w:rPr>
      </w:pPr>
    </w:p>
    <w:p>
      <w:pPr>
        <w:ind w:left="1460" w:right="339" w:firstLine="333"/>
        <w:spacing w:after="0" w:line="266" w:lineRule="auto"/>
        <w:tabs>
          <w:tab w:leader="none" w:pos="1958"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35" w:lineRule="exact"/>
        <w:rPr>
          <w:rFonts w:ascii="Times New Roman" w:cs="Times New Roman" w:eastAsia="Times New Roman" w:hAnsi="Times New Roman"/>
          <w:sz w:val="14"/>
          <w:szCs w:val="14"/>
          <w:color w:val="auto"/>
        </w:rPr>
      </w:pPr>
    </w:p>
    <w:p>
      <w:pPr>
        <w:ind w:left="1460" w:right="339" w:firstLine="333"/>
        <w:spacing w:after="0" w:line="246" w:lineRule="auto"/>
        <w:tabs>
          <w:tab w:leader="none" w:pos="1996"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54" w:lineRule="exact"/>
        <w:rPr>
          <w:rFonts w:ascii="Times New Roman" w:cs="Times New Roman" w:eastAsia="Times New Roman" w:hAnsi="Times New Roman"/>
          <w:sz w:val="14"/>
          <w:szCs w:val="14"/>
          <w:color w:val="auto"/>
        </w:rPr>
      </w:pPr>
    </w:p>
    <w:p>
      <w:pPr>
        <w:ind w:left="1460" w:right="379" w:hanging="1"/>
        <w:spacing w:after="0" w:line="250" w:lineRule="auto"/>
        <w:tabs>
          <w:tab w:leader="none" w:pos="165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4" w:lineRule="exact"/>
        <w:rPr>
          <w:rFonts w:ascii="Times New Roman" w:cs="Times New Roman" w:eastAsia="Times New Roman" w:hAnsi="Times New Roman"/>
          <w:sz w:val="14"/>
          <w:szCs w:val="14"/>
          <w:color w:val="auto"/>
        </w:rPr>
      </w:pPr>
    </w:p>
    <w:p>
      <w:pPr>
        <w:ind w:left="1960" w:hanging="167"/>
        <w:spacing w:after="0"/>
        <w:tabs>
          <w:tab w:leader="none" w:pos="19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67" w:lineRule="exact"/>
        <w:rPr>
          <w:rFonts w:ascii="Times New Roman" w:cs="Times New Roman" w:eastAsia="Times New Roman" w:hAnsi="Times New Roman"/>
          <w:sz w:val="14"/>
          <w:szCs w:val="14"/>
          <w:color w:val="auto"/>
        </w:rPr>
      </w:pPr>
    </w:p>
    <w:p>
      <w:pPr>
        <w:ind w:left="1460" w:right="819" w:firstLine="333"/>
        <w:spacing w:after="0" w:line="266" w:lineRule="auto"/>
        <w:tabs>
          <w:tab w:leader="none" w:pos="1996"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35" w:lineRule="exact"/>
        <w:rPr>
          <w:rFonts w:ascii="Times New Roman" w:cs="Times New Roman" w:eastAsia="Times New Roman" w:hAnsi="Times New Roman"/>
          <w:sz w:val="14"/>
          <w:szCs w:val="14"/>
          <w:color w:val="auto"/>
        </w:rPr>
      </w:pPr>
    </w:p>
    <w:p>
      <w:pPr>
        <w:ind w:left="1460" w:right="359" w:firstLine="333"/>
        <w:spacing w:after="0" w:line="266" w:lineRule="auto"/>
        <w:tabs>
          <w:tab w:leader="none" w:pos="2034"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35" w:lineRule="exact"/>
        <w:rPr>
          <w:rFonts w:ascii="Times New Roman" w:cs="Times New Roman" w:eastAsia="Times New Roman" w:hAnsi="Times New Roman"/>
          <w:sz w:val="14"/>
          <w:szCs w:val="14"/>
          <w:color w:val="auto"/>
        </w:rPr>
      </w:pPr>
    </w:p>
    <w:p>
      <w:pPr>
        <w:ind w:left="2020" w:hanging="227"/>
        <w:spacing w:after="0"/>
        <w:tabs>
          <w:tab w:leader="none" w:pos="202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88" w:lineRule="exact"/>
        <w:rPr>
          <w:sz w:val="20"/>
          <w:szCs w:val="20"/>
          <w:color w:val="auto"/>
        </w:rPr>
      </w:pPr>
    </w:p>
    <w:p>
      <w:pPr>
        <w:ind w:left="1780" w:right="399" w:hanging="321"/>
        <w:spacing w:after="0" w:line="250" w:lineRule="auto"/>
        <w:tabs>
          <w:tab w:leader="none" w:pos="1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4" w:lineRule="exact"/>
        <w:rPr>
          <w:rFonts w:ascii="Times New Roman" w:cs="Times New Roman" w:eastAsia="Times New Roman" w:hAnsi="Times New Roman"/>
          <w:sz w:val="14"/>
          <w:szCs w:val="14"/>
          <w:color w:val="auto"/>
        </w:rPr>
      </w:pPr>
    </w:p>
    <w:p>
      <w:pPr>
        <w:ind w:left="1780" w:right="399" w:hanging="321"/>
        <w:spacing w:after="0" w:line="255" w:lineRule="auto"/>
        <w:tabs>
          <w:tab w:leader="none" w:pos="1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79"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3" w:lineRule="exact"/>
        <w:rPr>
          <w:sz w:val="20"/>
          <w:szCs w:val="20"/>
          <w:color w:val="auto"/>
        </w:rPr>
      </w:pPr>
    </w:p>
    <w:p>
      <w:pPr>
        <w:ind w:left="1780" w:right="359"/>
        <w:spacing w:after="0" w:line="249" w:lineRule="auto"/>
        <w:rPr>
          <w:sz w:val="20"/>
          <w:szCs w:val="20"/>
          <w:color w:val="auto"/>
        </w:rPr>
      </w:pPr>
      <w:r>
        <w:rPr>
          <w:rFonts w:ascii="Times New Roman" w:cs="Times New Roman" w:eastAsia="Times New Roman" w:hAnsi="Times New Roman"/>
          <w:sz w:val="14"/>
          <w:szCs w:val="14"/>
          <w:color w:val="auto"/>
        </w:rPr>
        <w:t>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5" w:lineRule="exact"/>
        <w:rPr>
          <w:sz w:val="20"/>
          <w:szCs w:val="20"/>
          <w:color w:val="auto"/>
        </w:rPr>
      </w:pPr>
    </w:p>
    <w:p>
      <w:pPr>
        <w:ind w:left="1780" w:hanging="321"/>
        <w:spacing w:after="0"/>
        <w:tabs>
          <w:tab w:leader="none" w:pos="1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w:t>
      </w:r>
    </w:p>
    <w:p>
      <w:pPr>
        <w:spacing w:after="0" w:line="85" w:lineRule="exact"/>
        <w:rPr>
          <w:sz w:val="20"/>
          <w:szCs w:val="20"/>
          <w:color w:val="auto"/>
        </w:rPr>
      </w:pPr>
    </w:p>
    <w:p>
      <w:pPr>
        <w:ind w:left="1460" w:right="679" w:hanging="1"/>
        <w:spacing w:after="0" w:line="255" w:lineRule="auto"/>
        <w:tabs>
          <w:tab w:leader="none" w:pos="165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43" w:lineRule="exact"/>
        <w:rPr>
          <w:rFonts w:ascii="Times New Roman" w:cs="Times New Roman" w:eastAsia="Times New Roman" w:hAnsi="Times New Roman"/>
          <w:sz w:val="14"/>
          <w:szCs w:val="14"/>
          <w:color w:val="auto"/>
        </w:rPr>
      </w:pPr>
    </w:p>
    <w:p>
      <w:pPr>
        <w:ind w:left="1460" w:right="419" w:hanging="1"/>
        <w:spacing w:after="0" w:line="255" w:lineRule="auto"/>
        <w:tabs>
          <w:tab w:leader="none" w:pos="165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2" w:lineRule="exact"/>
        <w:rPr>
          <w:sz w:val="20"/>
          <w:szCs w:val="20"/>
          <w:color w:val="auto"/>
        </w:rPr>
      </w:pPr>
    </w:p>
    <w:p>
      <w:pPr>
        <w:ind w:left="1780" w:right="479" w:hanging="321"/>
        <w:spacing w:after="0" w:line="272" w:lineRule="auto"/>
        <w:tabs>
          <w:tab w:leader="none" w:pos="17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SEC under section 305(b)</w:t>
      </w:r>
    </w:p>
    <w:p>
      <w:pPr>
        <w:spacing w:after="0" w:line="1" w:lineRule="exact"/>
        <w:rPr>
          <w:rFonts w:ascii="Times New Roman" w:cs="Times New Roman" w:eastAsia="Times New Roman" w:hAnsi="Times New Roman"/>
          <w:sz w:val="13"/>
          <w:szCs w:val="13"/>
          <w:color w:val="auto"/>
        </w:rPr>
      </w:pPr>
    </w:p>
    <w:p>
      <w:pPr>
        <w:ind w:left="17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(2) of the Trust Indenture Act.</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II-6</w:t>
      </w:r>
    </w:p>
    <w:p>
      <w:pPr>
        <w:sectPr>
          <w:pgSz w:w="11900" w:h="16838" w:orient="portrait"/>
          <w:cols w:equalWidth="0" w:num="1">
            <w:col w:w="10159"/>
          </w:cols>
          <w:pgMar w:left="300" w:top="379"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1" w:lineRule="exact"/>
        <w:rPr>
          <w:sz w:val="20"/>
          <w:szCs w:val="20"/>
          <w:color w:val="auto"/>
        </w:rPr>
      </w:pPr>
    </w:p>
    <w:p>
      <w:pPr>
        <w:ind w:left="1460" w:right="479" w:firstLine="335"/>
        <w:spacing w:after="0" w:line="255"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Waltham, Commonwealth of Massachusetts, on June 25, 2026.</w:t>
      </w:r>
    </w:p>
    <w:p>
      <w:pPr>
        <w:spacing w:after="0" w:line="160"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b w:val="1"/>
          <w:bCs w:val="1"/>
          <w:color w:val="auto"/>
        </w:rPr>
        <w:t>Q32 BIO INC.</w:t>
      </w:r>
    </w:p>
    <w:p>
      <w:pPr>
        <w:spacing w:after="0" w:line="17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color w:val="auto"/>
        </w:rPr>
        <w:t>/s/ Jodie Morrison</w:t>
      </w:r>
    </w:p>
    <w:p>
      <w:pPr>
        <w:spacing w:after="0" w:line="15"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color w:val="auto"/>
        </w:rPr>
        <w:t>Name: Jodie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4117975</wp:posOffset>
            </wp:positionH>
            <wp:positionV relativeFrom="paragraph">
              <wp:posOffset>-100965</wp:posOffset>
            </wp:positionV>
            <wp:extent cx="212344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2123440" cy="6350"/>
                    </a:xfrm>
                    <a:prstGeom prst="rect">
                      <a:avLst/>
                    </a:prstGeom>
                    <a:noFill/>
                  </pic:spPr>
                </pic:pic>
              </a:graphicData>
            </a:graphic>
          </wp:anchor>
        </w:drawing>
      </w:r>
    </w:p>
    <w:p>
      <w:pPr>
        <w:ind w:left="648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156" w:lineRule="exact"/>
        <w:rPr>
          <w:sz w:val="20"/>
          <w:szCs w:val="20"/>
          <w:color w:val="auto"/>
        </w:rPr>
      </w:pPr>
    </w:p>
    <w:p>
      <w:pPr>
        <w:ind w:left="1460" w:right="399" w:firstLine="335"/>
        <w:spacing w:after="0" w:line="270" w:lineRule="auto"/>
        <w:rPr>
          <w:sz w:val="20"/>
          <w:szCs w:val="20"/>
          <w:color w:val="auto"/>
        </w:rPr>
      </w:pPr>
      <w:r>
        <w:rPr>
          <w:rFonts w:ascii="Times New Roman" w:cs="Times New Roman" w:eastAsia="Times New Roman" w:hAnsi="Times New Roman"/>
          <w:sz w:val="13"/>
          <w:szCs w:val="13"/>
          <w:color w:val="auto"/>
        </w:rPr>
        <w:t>KNOW ALL BY THESE PRESENT, that each individual whose signature appears below hereby constitutes and appoints each of Jodie Morrison and Lee Kalowski,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36" w:lineRule="exact"/>
        <w:rPr>
          <w:sz w:val="20"/>
          <w:szCs w:val="20"/>
          <w:color w:val="auto"/>
        </w:rPr>
      </w:pPr>
    </w:p>
    <w:p>
      <w:pPr>
        <w:ind w:left="1460" w:right="359" w:firstLine="335"/>
        <w:spacing w:after="0" w:line="26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in the locations and on the dates indicated.</w:t>
      </w:r>
    </w:p>
    <w:p>
      <w:pPr>
        <w:spacing w:after="0" w:line="152" w:lineRule="exact"/>
        <w:rPr>
          <w:sz w:val="20"/>
          <w:szCs w:val="20"/>
          <w:color w:val="auto"/>
        </w:rPr>
      </w:pPr>
    </w:p>
    <w:tbl>
      <w:tblPr>
        <w:tblLayout w:type="fixed"/>
        <w:tblInd w:w="1460" w:type="dxa"/>
        <w:tblCellMar>
          <w:top w:w="0" w:type="dxa"/>
          <w:left w:w="0" w:type="dxa"/>
          <w:bottom w:w="0" w:type="dxa"/>
          <w:right w:w="0" w:type="dxa"/>
        </w:tblCellMar>
      </w:tblPr>
      <w:tr>
        <w:trPr>
          <w:trHeight w:val="140"/>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Signature</w:t>
            </w:r>
          </w:p>
        </w:tc>
        <w:tc>
          <w:tcPr>
            <w:tcW w:w="80" w:type="dxa"/>
            <w:vAlign w:val="bottom"/>
          </w:tcPr>
          <w:p>
            <w:pPr>
              <w:spacing w:after="0"/>
              <w:rPr>
                <w:sz w:val="12"/>
                <w:szCs w:val="12"/>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Title</w:t>
            </w:r>
          </w:p>
        </w:tc>
        <w:tc>
          <w:tcPr>
            <w:tcW w:w="160" w:type="dxa"/>
            <w:vAlign w:val="bottom"/>
          </w:tcPr>
          <w:p>
            <w:pPr>
              <w:spacing w:after="0"/>
              <w:rPr>
                <w:sz w:val="12"/>
                <w:szCs w:val="12"/>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Date</w:t>
            </w:r>
          </w:p>
        </w:tc>
      </w:tr>
      <w:tr>
        <w:trPr>
          <w:trHeight w:val="307"/>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Jodie Morrison</w:t>
            </w:r>
          </w:p>
        </w:tc>
        <w:tc>
          <w:tcPr>
            <w:tcW w:w="80" w:type="dxa"/>
            <w:vAlign w:val="bottom"/>
          </w:tcPr>
          <w:p>
            <w:pPr>
              <w:spacing w:after="0"/>
              <w:rPr>
                <w:sz w:val="24"/>
                <w:szCs w:val="24"/>
                <w:color w:val="auto"/>
              </w:rPr>
            </w:pPr>
          </w:p>
        </w:tc>
        <w:tc>
          <w:tcPr>
            <w:tcW w:w="3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7"/>
              </w:rPr>
              <w:t>Chief Executive Officer and 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June 25, 2026</w:t>
            </w:r>
          </w:p>
        </w:tc>
      </w:tr>
      <w:tr>
        <w:trPr>
          <w:trHeight w:val="167"/>
        </w:trPr>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Jodie Morrison</w:t>
            </w:r>
          </w:p>
        </w:tc>
        <w:tc>
          <w:tcPr>
            <w:tcW w:w="80" w:type="dxa"/>
            <w:vAlign w:val="bottom"/>
          </w:tcPr>
          <w:p>
            <w:pPr>
              <w:spacing w:after="0"/>
              <w:rPr>
                <w:sz w:val="14"/>
                <w:szCs w:val="14"/>
                <w:color w:val="auto"/>
              </w:rPr>
            </w:pPr>
          </w:p>
        </w:tc>
        <w:tc>
          <w:tcPr>
            <w:tcW w:w="380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i w:val="1"/>
                <w:iCs w:val="1"/>
                <w:color w:val="auto"/>
                <w:w w:val="97"/>
              </w:rPr>
              <w:t>Principal Executive Officer</w:t>
            </w:r>
          </w:p>
        </w:tc>
        <w:tc>
          <w:tcPr>
            <w:tcW w:w="1520" w:type="dxa"/>
            <w:vAlign w:val="bottom"/>
          </w:tcPr>
          <w:p>
            <w:pPr>
              <w:spacing w:after="0"/>
              <w:rPr>
                <w:sz w:val="14"/>
                <w:szCs w:val="14"/>
                <w:color w:val="auto"/>
              </w:rPr>
            </w:pPr>
          </w:p>
        </w:tc>
      </w:tr>
      <w:tr>
        <w:trPr>
          <w:trHeight w:val="326"/>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Lee Kalowski</w:t>
            </w:r>
          </w:p>
        </w:tc>
        <w:tc>
          <w:tcPr>
            <w:tcW w:w="80" w:type="dxa"/>
            <w:vAlign w:val="bottom"/>
          </w:tcPr>
          <w:p>
            <w:pPr>
              <w:spacing w:after="0"/>
              <w:rPr>
                <w:sz w:val="24"/>
                <w:szCs w:val="24"/>
                <w:color w:val="auto"/>
              </w:rPr>
            </w:pPr>
          </w:p>
        </w:tc>
        <w:tc>
          <w:tcPr>
            <w:tcW w:w="3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7"/>
              </w:rPr>
              <w:t>Chief Financial Officer and President</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June 25, 2026</w:t>
            </w:r>
          </w:p>
        </w:tc>
      </w:tr>
      <w:tr>
        <w:trPr>
          <w:trHeight w:val="167"/>
        </w:trPr>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Lee Kalowski</w:t>
            </w:r>
          </w:p>
        </w:tc>
        <w:tc>
          <w:tcPr>
            <w:tcW w:w="80" w:type="dxa"/>
            <w:vAlign w:val="bottom"/>
          </w:tcPr>
          <w:p>
            <w:pPr>
              <w:spacing w:after="0"/>
              <w:rPr>
                <w:sz w:val="14"/>
                <w:szCs w:val="14"/>
                <w:color w:val="auto"/>
              </w:rPr>
            </w:pPr>
          </w:p>
        </w:tc>
        <w:tc>
          <w:tcPr>
            <w:tcW w:w="380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i w:val="1"/>
                <w:iCs w:val="1"/>
                <w:color w:val="auto"/>
                <w:w w:val="97"/>
              </w:rPr>
              <w:t>Principal Financial Officer and Principal Accounting Officer</w:t>
            </w:r>
          </w:p>
        </w:tc>
        <w:tc>
          <w:tcPr>
            <w:tcW w:w="1520" w:type="dxa"/>
            <w:vAlign w:val="bottom"/>
          </w:tcPr>
          <w:p>
            <w:pPr>
              <w:spacing w:after="0"/>
              <w:rPr>
                <w:sz w:val="14"/>
                <w:szCs w:val="14"/>
                <w:color w:val="auto"/>
              </w:rPr>
            </w:pPr>
          </w:p>
        </w:tc>
      </w:tr>
      <w:tr>
        <w:trPr>
          <w:trHeight w:val="326"/>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David Grayzel</w:t>
            </w:r>
          </w:p>
        </w:tc>
        <w:tc>
          <w:tcPr>
            <w:tcW w:w="80" w:type="dxa"/>
            <w:vAlign w:val="bottom"/>
          </w:tcPr>
          <w:p>
            <w:pPr>
              <w:spacing w:after="0"/>
              <w:rPr>
                <w:sz w:val="24"/>
                <w:szCs w:val="24"/>
                <w:color w:val="auto"/>
              </w:rPr>
            </w:pPr>
          </w:p>
        </w:tc>
        <w:tc>
          <w:tcPr>
            <w:tcW w:w="3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June 25, 2026</w:t>
            </w:r>
          </w:p>
        </w:tc>
      </w:tr>
      <w:tr>
        <w:trPr>
          <w:trHeight w:val="167"/>
        </w:trPr>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David Grayzel</w:t>
            </w:r>
          </w:p>
        </w:tc>
        <w:tc>
          <w:tcPr>
            <w:tcW w:w="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26"/>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Diyong Xu</w:t>
            </w:r>
          </w:p>
        </w:tc>
        <w:tc>
          <w:tcPr>
            <w:tcW w:w="80" w:type="dxa"/>
            <w:vAlign w:val="bottom"/>
          </w:tcPr>
          <w:p>
            <w:pPr>
              <w:spacing w:after="0"/>
              <w:rPr>
                <w:sz w:val="24"/>
                <w:szCs w:val="24"/>
                <w:color w:val="auto"/>
              </w:rPr>
            </w:pPr>
          </w:p>
        </w:tc>
        <w:tc>
          <w:tcPr>
            <w:tcW w:w="3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June 25, 2026</w:t>
            </w:r>
          </w:p>
        </w:tc>
      </w:tr>
      <w:tr>
        <w:trPr>
          <w:trHeight w:val="167"/>
        </w:trPr>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Diyong Xu</w:t>
            </w:r>
          </w:p>
        </w:tc>
        <w:tc>
          <w:tcPr>
            <w:tcW w:w="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26"/>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Isaac Manke</w:t>
            </w:r>
          </w:p>
        </w:tc>
        <w:tc>
          <w:tcPr>
            <w:tcW w:w="80" w:type="dxa"/>
            <w:vAlign w:val="bottom"/>
          </w:tcPr>
          <w:p>
            <w:pPr>
              <w:spacing w:after="0"/>
              <w:rPr>
                <w:sz w:val="24"/>
                <w:szCs w:val="24"/>
                <w:color w:val="auto"/>
              </w:rPr>
            </w:pPr>
          </w:p>
        </w:tc>
        <w:tc>
          <w:tcPr>
            <w:tcW w:w="3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June 25, 2026</w:t>
            </w:r>
          </w:p>
        </w:tc>
      </w:tr>
      <w:tr>
        <w:trPr>
          <w:trHeight w:val="167"/>
        </w:trPr>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Isaac Manke</w:t>
            </w:r>
          </w:p>
        </w:tc>
        <w:tc>
          <w:tcPr>
            <w:tcW w:w="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26"/>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Arthur Tzianabos</w:t>
            </w:r>
          </w:p>
        </w:tc>
        <w:tc>
          <w:tcPr>
            <w:tcW w:w="80" w:type="dxa"/>
            <w:vAlign w:val="bottom"/>
          </w:tcPr>
          <w:p>
            <w:pPr>
              <w:spacing w:after="0"/>
              <w:rPr>
                <w:sz w:val="24"/>
                <w:szCs w:val="24"/>
                <w:color w:val="auto"/>
              </w:rPr>
            </w:pPr>
          </w:p>
        </w:tc>
        <w:tc>
          <w:tcPr>
            <w:tcW w:w="3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June 25, 2026</w:t>
            </w:r>
          </w:p>
        </w:tc>
      </w:tr>
      <w:tr>
        <w:trPr>
          <w:trHeight w:val="167"/>
        </w:trPr>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Arthur Tzianabos</w:t>
            </w:r>
          </w:p>
        </w:tc>
        <w:tc>
          <w:tcPr>
            <w:tcW w:w="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26"/>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Kathleen LaPorte</w:t>
            </w:r>
          </w:p>
        </w:tc>
        <w:tc>
          <w:tcPr>
            <w:tcW w:w="80" w:type="dxa"/>
            <w:vAlign w:val="bottom"/>
          </w:tcPr>
          <w:p>
            <w:pPr>
              <w:spacing w:after="0"/>
              <w:rPr>
                <w:sz w:val="24"/>
                <w:szCs w:val="24"/>
                <w:color w:val="auto"/>
              </w:rPr>
            </w:pPr>
          </w:p>
        </w:tc>
        <w:tc>
          <w:tcPr>
            <w:tcW w:w="3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June 25, 2026</w:t>
            </w:r>
          </w:p>
        </w:tc>
      </w:tr>
      <w:tr>
        <w:trPr>
          <w:trHeight w:val="167"/>
        </w:trPr>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Kathleen LaPorte</w:t>
            </w:r>
          </w:p>
        </w:tc>
        <w:tc>
          <w:tcPr>
            <w:tcW w:w="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26"/>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Mary Thistle</w:t>
            </w:r>
          </w:p>
        </w:tc>
        <w:tc>
          <w:tcPr>
            <w:tcW w:w="80" w:type="dxa"/>
            <w:vAlign w:val="bottom"/>
          </w:tcPr>
          <w:p>
            <w:pPr>
              <w:spacing w:after="0"/>
              <w:rPr>
                <w:sz w:val="24"/>
                <w:szCs w:val="24"/>
                <w:color w:val="auto"/>
              </w:rPr>
            </w:pPr>
          </w:p>
        </w:tc>
        <w:tc>
          <w:tcPr>
            <w:tcW w:w="3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June 25, 2026</w:t>
            </w:r>
          </w:p>
        </w:tc>
      </w:tr>
      <w:tr>
        <w:trPr>
          <w:trHeight w:val="167"/>
        </w:trPr>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Mary Thistle</w:t>
            </w:r>
          </w:p>
        </w:tc>
        <w:tc>
          <w:tcPr>
            <w:tcW w:w="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74"/>
        </w:trPr>
        <w:tc>
          <w:tcPr>
            <w:tcW w:w="2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II-7</w:t>
            </w:r>
          </w:p>
        </w:tc>
        <w:tc>
          <w:tcPr>
            <w:tcW w:w="1520" w:type="dxa"/>
            <w:vAlign w:val="bottom"/>
          </w:tcPr>
          <w:p>
            <w:pPr>
              <w:spacing w:after="0"/>
              <w:rPr>
                <w:sz w:val="23"/>
                <w:szCs w:val="23"/>
                <w:color w:val="auto"/>
              </w:rPr>
            </w:pPr>
          </w:p>
        </w:tc>
      </w:tr>
    </w:tbl>
    <w:p>
      <w:pPr>
        <w:sectPr>
          <w:pgSz w:w="11900" w:h="16838" w:orient="portrait"/>
          <w:cols w:equalWidth="0" w:num="1">
            <w:col w:w="10159"/>
          </w:cols>
          <w:pgMar w:left="300" w:top="379"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9" w:lineRule="exact"/>
        <w:rPr>
          <w:sz w:val="20"/>
          <w:szCs w:val="20"/>
          <w:color w:val="auto"/>
        </w:rPr>
      </w:pPr>
    </w:p>
    <w:tbl>
      <w:tblPr>
        <w:tblLayout w:type="fixed"/>
        <w:tblInd w:w="1460" w:type="dxa"/>
        <w:tblCellMar>
          <w:top w:w="0" w:type="dxa"/>
          <w:left w:w="0" w:type="dxa"/>
          <w:bottom w:w="0" w:type="dxa"/>
          <w:right w:w="0" w:type="dxa"/>
        </w:tblCellMar>
      </w:tblPr>
      <w:tr>
        <w:trPr>
          <w:trHeight w:val="140"/>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Signature</w:t>
            </w:r>
          </w:p>
        </w:tc>
        <w:tc>
          <w:tcPr>
            <w:tcW w:w="80" w:type="dxa"/>
            <w:vAlign w:val="bottom"/>
          </w:tcPr>
          <w:p>
            <w:pPr>
              <w:spacing w:after="0"/>
              <w:rPr>
                <w:sz w:val="12"/>
                <w:szCs w:val="12"/>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Title</w:t>
            </w:r>
          </w:p>
        </w:tc>
        <w:tc>
          <w:tcPr>
            <w:tcW w:w="160" w:type="dxa"/>
            <w:vAlign w:val="bottom"/>
          </w:tcPr>
          <w:p>
            <w:pPr>
              <w:spacing w:after="0"/>
              <w:rPr>
                <w:sz w:val="12"/>
                <w:szCs w:val="12"/>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Date</w:t>
            </w:r>
          </w:p>
        </w:tc>
      </w:tr>
      <w:tr>
        <w:trPr>
          <w:trHeight w:val="308"/>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Mark Iwicki</w:t>
            </w:r>
          </w:p>
        </w:tc>
        <w:tc>
          <w:tcPr>
            <w:tcW w:w="80" w:type="dxa"/>
            <w:vAlign w:val="bottom"/>
          </w:tcPr>
          <w:p>
            <w:pPr>
              <w:spacing w:after="0"/>
              <w:rPr>
                <w:sz w:val="24"/>
                <w:szCs w:val="24"/>
                <w:color w:val="auto"/>
              </w:rPr>
            </w:pPr>
          </w:p>
        </w:tc>
        <w:tc>
          <w:tcPr>
            <w:tcW w:w="3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June 25, 2026</w:t>
            </w:r>
          </w:p>
        </w:tc>
      </w:tr>
      <w:tr>
        <w:trPr>
          <w:trHeight w:val="167"/>
        </w:trPr>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Mark Iwicki</w:t>
            </w:r>
          </w:p>
        </w:tc>
        <w:tc>
          <w:tcPr>
            <w:tcW w:w="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26"/>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Bill Lundberg</w:t>
            </w:r>
          </w:p>
        </w:tc>
        <w:tc>
          <w:tcPr>
            <w:tcW w:w="80" w:type="dxa"/>
            <w:vAlign w:val="bottom"/>
          </w:tcPr>
          <w:p>
            <w:pPr>
              <w:spacing w:after="0"/>
              <w:rPr>
                <w:sz w:val="24"/>
                <w:szCs w:val="24"/>
                <w:color w:val="auto"/>
              </w:rPr>
            </w:pPr>
          </w:p>
        </w:tc>
        <w:tc>
          <w:tcPr>
            <w:tcW w:w="3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June 25, 2026</w:t>
            </w:r>
          </w:p>
        </w:tc>
      </w:tr>
      <w:tr>
        <w:trPr>
          <w:trHeight w:val="167"/>
        </w:trPr>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Bill Lundberg</w:t>
            </w:r>
          </w:p>
        </w:tc>
        <w:tc>
          <w:tcPr>
            <w:tcW w:w="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74"/>
        </w:trPr>
        <w:tc>
          <w:tcPr>
            <w:tcW w:w="2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II-8</w:t>
            </w:r>
          </w:p>
        </w:tc>
        <w:tc>
          <w:tcPr>
            <w:tcW w:w="1520" w:type="dxa"/>
            <w:vAlign w:val="bottom"/>
          </w:tcPr>
          <w:p>
            <w:pPr>
              <w:spacing w:after="0"/>
              <w:rPr>
                <w:sz w:val="23"/>
                <w:szCs w:val="23"/>
                <w:color w:val="auto"/>
              </w:rPr>
            </w:pPr>
          </w:p>
        </w:tc>
      </w:tr>
    </w:tbl>
    <w:p>
      <w:pPr>
        <w:sectPr>
          <w:pgSz w:w="11900" w:h="16838" w:orient="portrait"/>
          <w:cols w:equalWidth="0" w:num="1">
            <w:col w:w="10159"/>
          </w:cols>
          <w:pgMar w:left="300" w:top="379" w:right="1440" w:bottom="1440" w:gutter="0" w:footer="0" w:header="0"/>
        </w:sectPr>
      </w:pPr>
    </w:p>
    <w:bookmarkStart w:id="37" w:name="page38"/>
    <w:bookmarkEnd w:id="37"/>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Exhibit 4.2</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Q32 BIO INC.,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Issuer</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136525</wp:posOffset>
            </wp:positionV>
            <wp:extent cx="531558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5315585" cy="6350"/>
                    </a:xfrm>
                    <a:prstGeom prst="rect">
                      <a:avLst/>
                    </a:prstGeom>
                    <a:noFill/>
                  </pic:spPr>
                </pic:pic>
              </a:graphicData>
            </a:graphic>
          </wp:anchor>
        </w:drawing>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Dated as of [•],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142875</wp:posOffset>
            </wp:positionV>
            <wp:extent cx="5315585"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5315585" cy="635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Senior Debt Securities</w:t>
      </w:r>
    </w:p>
    <w:p>
      <w:pPr>
        <w:sectPr>
          <w:pgSz w:w="11900" w:h="16838" w:orient="portrait"/>
          <w:cols w:equalWidth="0" w:num="1">
            <w:col w:w="9019"/>
          </w:cols>
          <w:pgMar w:left="1440" w:top="123" w:right="1440"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r>
        <w:rPr>
          <w:rFonts w:ascii="Times New Roman" w:cs="Times New Roman" w:eastAsia="Times New Roman" w:hAnsi="Times New Roman"/>
          <w:sz w:val="20"/>
          <w:szCs w:val="20"/>
          <w:b w:val="1"/>
          <w:bCs w:val="1"/>
          <w:color w:val="auto"/>
          <w:vertAlign w:val="superscript"/>
        </w:rPr>
        <w:t>1</w:t>
      </w:r>
    </w:p>
    <w:p>
      <w:pPr>
        <w:spacing w:after="0" w:line="116" w:lineRule="exact"/>
        <w:rPr>
          <w:sz w:val="20"/>
          <w:szCs w:val="20"/>
          <w:color w:val="auto"/>
        </w:rPr>
      </w:pPr>
    </w:p>
    <w:tbl>
      <w:tblPr>
        <w:tblLayout w:type="fixed"/>
        <w:tblInd w:w="320" w:type="dxa"/>
        <w:tblCellMar>
          <w:top w:w="0" w:type="dxa"/>
          <w:left w:w="0" w:type="dxa"/>
          <w:bottom w:w="0" w:type="dxa"/>
          <w:right w:w="0" w:type="dxa"/>
        </w:tblCellMar>
      </w:tblPr>
      <w:tr>
        <w:trPr>
          <w:trHeight w:val="143"/>
        </w:trPr>
        <w:tc>
          <w:tcPr>
            <w:tcW w:w="124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34"/>
        </w:trPr>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1 DEFINITIONS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1.01</w:t>
            </w:r>
          </w:p>
        </w:tc>
        <w:tc>
          <w:tcPr>
            <w:tcW w:w="6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Definitions of Terms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46"/>
        </w:trPr>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2 ISSUE, DESCRIPTION, TERMS, EXECUTION, REGISTRATION AND EXCHANGE OF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2.01</w:t>
            </w:r>
          </w:p>
        </w:tc>
        <w:tc>
          <w:tcPr>
            <w:tcW w:w="6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Designation and Terms of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2.02</w:t>
            </w:r>
          </w:p>
        </w:tc>
        <w:tc>
          <w:tcPr>
            <w:tcW w:w="6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Form of Securities and Trustee’s Certificate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2.03</w:t>
            </w:r>
          </w:p>
        </w:tc>
        <w:tc>
          <w:tcPr>
            <w:tcW w:w="6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Denominations; Provisions for Payment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2.04</w:t>
            </w:r>
          </w:p>
        </w:tc>
        <w:tc>
          <w:tcPr>
            <w:tcW w:w="6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Execution and Authentications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2.05</w:t>
            </w:r>
          </w:p>
        </w:tc>
        <w:tc>
          <w:tcPr>
            <w:tcW w:w="6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Registration of Transfer and Exchange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2.06</w:t>
            </w:r>
          </w:p>
        </w:tc>
        <w:tc>
          <w:tcPr>
            <w:tcW w:w="6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Temporary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2.07</w:t>
            </w:r>
          </w:p>
        </w:tc>
        <w:tc>
          <w:tcPr>
            <w:tcW w:w="6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Mutilated, Destroyed, Lost or Stolen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2.08</w:t>
            </w:r>
          </w:p>
        </w:tc>
        <w:tc>
          <w:tcPr>
            <w:tcW w:w="6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Cancellation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2.09</w:t>
            </w:r>
          </w:p>
        </w:tc>
        <w:tc>
          <w:tcPr>
            <w:tcW w:w="6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Benefits of Indenture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2.10</w:t>
            </w:r>
          </w:p>
        </w:tc>
        <w:tc>
          <w:tcPr>
            <w:tcW w:w="6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Authenticating Agent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2.11</w:t>
            </w:r>
          </w:p>
        </w:tc>
        <w:tc>
          <w:tcPr>
            <w:tcW w:w="6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Global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46"/>
        </w:trPr>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3 REDEMPTION OF SECURITIES AND SINKING FUND PROVISIONS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3.01</w:t>
            </w:r>
          </w:p>
        </w:tc>
        <w:tc>
          <w:tcPr>
            <w:tcW w:w="6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Redemption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3.02</w:t>
            </w:r>
          </w:p>
        </w:tc>
        <w:tc>
          <w:tcPr>
            <w:tcW w:w="6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Notice of Redemption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3.03</w:t>
            </w:r>
          </w:p>
        </w:tc>
        <w:tc>
          <w:tcPr>
            <w:tcW w:w="6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 Upon Redemption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3.04</w:t>
            </w:r>
          </w:p>
        </w:tc>
        <w:tc>
          <w:tcPr>
            <w:tcW w:w="6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Sinking Fund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3.05</w:t>
            </w:r>
          </w:p>
        </w:tc>
        <w:tc>
          <w:tcPr>
            <w:tcW w:w="6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Satisfaction of Sinking Fund Payments with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3.06</w:t>
            </w:r>
          </w:p>
        </w:tc>
        <w:tc>
          <w:tcPr>
            <w:tcW w:w="6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Redemption of Securities for Sinking Fund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46"/>
        </w:trPr>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4 COVENANTS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4.01</w:t>
            </w:r>
          </w:p>
        </w:tc>
        <w:tc>
          <w:tcPr>
            <w:tcW w:w="6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 of Principal, Premium and Interest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4.02</w:t>
            </w:r>
          </w:p>
        </w:tc>
        <w:tc>
          <w:tcPr>
            <w:tcW w:w="6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Maintenance of Office or Agency</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4.03</w:t>
            </w:r>
          </w:p>
        </w:tc>
        <w:tc>
          <w:tcPr>
            <w:tcW w:w="6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Paying Agents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4.04</w:t>
            </w:r>
          </w:p>
        </w:tc>
        <w:tc>
          <w:tcPr>
            <w:tcW w:w="6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Appointment to Fill Vacancy in Office of Trustee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4.05</w:t>
            </w:r>
          </w:p>
        </w:tc>
        <w:tc>
          <w:tcPr>
            <w:tcW w:w="6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Compliance with Consolidation Provisions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72390</wp:posOffset>
            </wp:positionV>
            <wp:extent cx="58610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586105" cy="6350"/>
                    </a:xfrm>
                    <a:prstGeom prst="rect">
                      <a:avLst/>
                    </a:prstGeom>
                    <a:noFill/>
                  </pic:spPr>
                </pic:pic>
              </a:graphicData>
            </a:graphic>
          </wp:anchor>
        </w:drawing>
      </w:r>
    </w:p>
    <w:p>
      <w:pPr>
        <w:spacing w:after="0" w:line="69" w:lineRule="exact"/>
        <w:rPr>
          <w:sz w:val="20"/>
          <w:szCs w:val="20"/>
          <w:color w:val="auto"/>
        </w:rPr>
      </w:pPr>
    </w:p>
    <w:p>
      <w:pPr>
        <w:ind w:left="480" w:hanging="161"/>
        <w:spacing w:after="0"/>
        <w:tabs>
          <w:tab w:leader="none" w:pos="48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This Table of Contents does not constitute part of the Indenture and shall not have any bearing on the interpretation of any of its terms or provisions.</w:t>
      </w:r>
    </w:p>
    <w:p>
      <w:pPr>
        <w:spacing w:after="0" w:line="101" w:lineRule="exact"/>
        <w:rPr>
          <w:rFonts w:ascii="Times New Roman" w:cs="Times New Roman" w:eastAsia="Times New Roman" w:hAnsi="Times New Roman"/>
          <w:sz w:val="19"/>
          <w:szCs w:val="19"/>
          <w:color w:val="auto"/>
          <w:vertAlign w:val="superscript"/>
        </w:rPr>
      </w:pPr>
    </w:p>
    <w:p>
      <w:pPr>
        <w:ind w:left="44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36"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(continued)</w:t>
      </w:r>
    </w:p>
    <w:p>
      <w:pPr>
        <w:spacing w:after="0" w:line="98" w:lineRule="exact"/>
        <w:rPr>
          <w:sz w:val="20"/>
          <w:szCs w:val="20"/>
          <w:color w:val="auto"/>
        </w:rPr>
      </w:pPr>
    </w:p>
    <w:tbl>
      <w:tblPr>
        <w:tblLayout w:type="fixed"/>
        <w:tblInd w:w="320" w:type="dxa"/>
        <w:tblCellMar>
          <w:top w:w="0" w:type="dxa"/>
          <w:left w:w="0" w:type="dxa"/>
          <w:bottom w:w="0" w:type="dxa"/>
          <w:right w:w="0" w:type="dxa"/>
        </w:tblCellMar>
      </w:tblPr>
      <w:tr>
        <w:trPr>
          <w:trHeight w:val="143"/>
        </w:trPr>
        <w:tc>
          <w:tcPr>
            <w:tcW w:w="124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34"/>
        </w:trPr>
        <w:tc>
          <w:tcPr>
            <w:tcW w:w="7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5 SECURITYHOLDERS’ LISTS AND REPORTS BY THE COMPANY AND THE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5.01</w:t>
            </w:r>
          </w:p>
        </w:tc>
        <w:tc>
          <w:tcPr>
            <w:tcW w:w="5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Company to Furnish Trustee Names and Addresses of Securityholders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5.02</w:t>
            </w:r>
          </w:p>
        </w:tc>
        <w:tc>
          <w:tcPr>
            <w:tcW w:w="5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Preservation Of Information; Communications With Securityholders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5.03</w:t>
            </w:r>
          </w:p>
        </w:tc>
        <w:tc>
          <w:tcPr>
            <w:tcW w:w="5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Reports by the Company</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5.04</w:t>
            </w:r>
          </w:p>
        </w:tc>
        <w:tc>
          <w:tcPr>
            <w:tcW w:w="5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Reports by the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46"/>
        </w:trPr>
        <w:tc>
          <w:tcPr>
            <w:tcW w:w="7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6 REMEDIES OF THE TRUSTEE AND SECURITYHOLDERS ON EVENT OF DEFAULT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6.01</w:t>
            </w:r>
          </w:p>
        </w:tc>
        <w:tc>
          <w:tcPr>
            <w:tcW w:w="5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Events of Default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6.02</w:t>
            </w:r>
          </w:p>
        </w:tc>
        <w:tc>
          <w:tcPr>
            <w:tcW w:w="5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Collection of Indebtedness and Suits for Enforcement by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6.03</w:t>
            </w:r>
          </w:p>
        </w:tc>
        <w:tc>
          <w:tcPr>
            <w:tcW w:w="5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Application of Moneys Collected</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6.04</w:t>
            </w:r>
          </w:p>
        </w:tc>
        <w:tc>
          <w:tcPr>
            <w:tcW w:w="5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Limitation on Suits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6.05</w:t>
            </w:r>
          </w:p>
        </w:tc>
        <w:tc>
          <w:tcPr>
            <w:tcW w:w="5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Rights and Remedies Cumulative; Delay or Omission Not Waiver</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6.06</w:t>
            </w:r>
          </w:p>
        </w:tc>
        <w:tc>
          <w:tcPr>
            <w:tcW w:w="5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Control by Securityholders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6.07</w:t>
            </w:r>
          </w:p>
        </w:tc>
        <w:tc>
          <w:tcPr>
            <w:tcW w:w="5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Undertaking to Pay Costs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46"/>
        </w:trPr>
        <w:tc>
          <w:tcPr>
            <w:tcW w:w="7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7 CONCERNING THE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7.01</w:t>
            </w:r>
          </w:p>
        </w:tc>
        <w:tc>
          <w:tcPr>
            <w:tcW w:w="5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Certain Duties and Responsibilities of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7.02</w:t>
            </w:r>
          </w:p>
        </w:tc>
        <w:tc>
          <w:tcPr>
            <w:tcW w:w="5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Certain Rights of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7.03</w:t>
            </w:r>
          </w:p>
        </w:tc>
        <w:tc>
          <w:tcPr>
            <w:tcW w:w="5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Trustee Not Responsible for Recitals or Issuance or Securities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7.04</w:t>
            </w:r>
          </w:p>
        </w:tc>
        <w:tc>
          <w:tcPr>
            <w:tcW w:w="5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May Hold Securities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7.05</w:t>
            </w:r>
          </w:p>
        </w:tc>
        <w:tc>
          <w:tcPr>
            <w:tcW w:w="5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Moneys Held in Trust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7.06</w:t>
            </w:r>
          </w:p>
        </w:tc>
        <w:tc>
          <w:tcPr>
            <w:tcW w:w="5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Compensation and Reimbursement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7.07</w:t>
            </w:r>
          </w:p>
        </w:tc>
        <w:tc>
          <w:tcPr>
            <w:tcW w:w="5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Reliance on Officer’s Certificate or Opinion of Counsel</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7.08</w:t>
            </w:r>
          </w:p>
        </w:tc>
        <w:tc>
          <w:tcPr>
            <w:tcW w:w="5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Disqualification; Conflicting Interests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7.09</w:t>
            </w:r>
          </w:p>
        </w:tc>
        <w:tc>
          <w:tcPr>
            <w:tcW w:w="5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Trustee Required; Eligibility</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7.10</w:t>
            </w:r>
          </w:p>
        </w:tc>
        <w:tc>
          <w:tcPr>
            <w:tcW w:w="5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Resignation and Removal; Appointment of Successor</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46"/>
        </w:trPr>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7.11</w:t>
            </w:r>
          </w:p>
        </w:tc>
        <w:tc>
          <w:tcPr>
            <w:tcW w:w="5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Acceptance of Appointment By Successor</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77"/>
        </w:trPr>
        <w:tc>
          <w:tcPr>
            <w:tcW w:w="1240" w:type="dxa"/>
            <w:vAlign w:val="bottom"/>
          </w:tcPr>
          <w:p>
            <w:pPr>
              <w:spacing w:after="0"/>
              <w:rPr>
                <w:sz w:val="24"/>
                <w:szCs w:val="24"/>
                <w:color w:val="auto"/>
              </w:rPr>
            </w:pPr>
          </w:p>
        </w:tc>
        <w:tc>
          <w:tcPr>
            <w:tcW w:w="592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-ii-</w:t>
            </w:r>
          </w:p>
        </w:tc>
        <w:tc>
          <w:tcPr>
            <w:tcW w:w="1160" w:type="dxa"/>
            <w:vAlign w:val="bottom"/>
          </w:tcPr>
          <w:p>
            <w:pPr>
              <w:spacing w:after="0"/>
              <w:rPr>
                <w:sz w:val="24"/>
                <w:szCs w:val="24"/>
                <w:color w:val="auto"/>
              </w:rPr>
            </w:pPr>
          </w:p>
        </w:tc>
      </w:tr>
    </w:tbl>
    <w:p>
      <w:pPr>
        <w:sectPr>
          <w:pgSz w:w="11900" w:h="16838" w:orient="portrait"/>
          <w:cols w:equalWidth="0" w:num="1">
            <w:col w:w="9019"/>
          </w:cols>
          <w:pgMar w:left="1440" w:top="236" w:right="1440"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(continued)</w:t>
      </w:r>
    </w:p>
    <w:p>
      <w:pPr>
        <w:spacing w:after="0" w:line="98" w:lineRule="exact"/>
        <w:rPr>
          <w:sz w:val="20"/>
          <w:szCs w:val="20"/>
          <w:color w:val="auto"/>
        </w:rPr>
      </w:pPr>
    </w:p>
    <w:tbl>
      <w:tblPr>
        <w:tblLayout w:type="fixed"/>
        <w:tblInd w:w="320" w:type="dxa"/>
        <w:tblCellMar>
          <w:top w:w="0" w:type="dxa"/>
          <w:left w:w="0" w:type="dxa"/>
          <w:bottom w:w="0" w:type="dxa"/>
          <w:right w:w="0" w:type="dxa"/>
        </w:tblCellMar>
      </w:tblPr>
      <w:tr>
        <w:trPr>
          <w:trHeight w:val="143"/>
        </w:trPr>
        <w:tc>
          <w:tcPr>
            <w:tcW w:w="124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34"/>
        </w:trPr>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Section 7.12</w:t>
            </w:r>
          </w:p>
        </w:tc>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Merger, Conversion, Consolidation or Succession to Business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46"/>
        </w:trPr>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Section 7.13</w:t>
            </w:r>
          </w:p>
        </w:tc>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Preferential Collection of Claims Against the Company</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46"/>
        </w:trPr>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Section 7.14</w:t>
            </w:r>
          </w:p>
        </w:tc>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Notice of Default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46"/>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8 CONCERNING THE SECURITYHOLDERS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r>
      <w:tr>
        <w:trPr>
          <w:trHeight w:val="246"/>
        </w:trPr>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Section 8.01</w:t>
            </w:r>
          </w:p>
        </w:tc>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Evidence of Action by Securityholders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46"/>
        </w:trPr>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Section 8.02</w:t>
            </w:r>
          </w:p>
        </w:tc>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Proof of Execution by Securityholders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46"/>
        </w:trPr>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Section 8.03</w:t>
            </w:r>
          </w:p>
        </w:tc>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Who May be Deemed Owners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46"/>
        </w:trPr>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Section 8.04</w:t>
            </w:r>
          </w:p>
        </w:tc>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Certain Securities Owned by Company Disregarded</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46"/>
        </w:trPr>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Section 8.05</w:t>
            </w:r>
          </w:p>
        </w:tc>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Actions Binding on Future Securityholders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46"/>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9 SUPPLEMENTAL INDENTURES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w:t>
            </w:r>
          </w:p>
        </w:tc>
      </w:tr>
      <w:tr>
        <w:trPr>
          <w:trHeight w:val="246"/>
        </w:trPr>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Section 9.01</w:t>
            </w:r>
          </w:p>
        </w:tc>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Supplemental Indentures Without the Consent of Securityholders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46"/>
        </w:trPr>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Section 9.02</w:t>
            </w:r>
          </w:p>
        </w:tc>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Supplemental Indentures With Consent of Securityholders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46"/>
        </w:trPr>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Section 9.03</w:t>
            </w:r>
          </w:p>
        </w:tc>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Effect of Supplemental Indentures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46"/>
        </w:trPr>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Section 9.04</w:t>
            </w:r>
          </w:p>
        </w:tc>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Securities Affected by Supplemental Indentures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46"/>
        </w:trPr>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Section 9.05</w:t>
            </w:r>
          </w:p>
        </w:tc>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Execution of Supplemental Indentures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46"/>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10 SUCCESSOR ENTITY</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r>
      <w:tr>
        <w:trPr>
          <w:trHeight w:val="246"/>
        </w:trPr>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Section 10.01</w:t>
            </w:r>
          </w:p>
        </w:tc>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Company May Consolidate, Etc.</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46"/>
        </w:trPr>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Section 10.02</w:t>
            </w:r>
          </w:p>
        </w:tc>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Successor Entity Substituted</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46"/>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11 SATISFACTION AND DISCHARGE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w:t>
            </w:r>
          </w:p>
        </w:tc>
      </w:tr>
      <w:tr>
        <w:trPr>
          <w:trHeight w:val="246"/>
        </w:trPr>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Section 11.01</w:t>
            </w:r>
          </w:p>
        </w:tc>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Satisfaction and Discharge of Indenture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46"/>
        </w:trPr>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Section 11.02</w:t>
            </w:r>
          </w:p>
        </w:tc>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Discharge of Obligations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46"/>
        </w:trPr>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Section 11.03</w:t>
            </w:r>
          </w:p>
        </w:tc>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Deposited Moneys to be Held in Trust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46"/>
        </w:trPr>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Section 11.04</w:t>
            </w:r>
          </w:p>
        </w:tc>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 of Moneys Held by Paying Agents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46"/>
        </w:trPr>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Section 11.05</w:t>
            </w:r>
          </w:p>
        </w:tc>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 to Company</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46"/>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12 IMMUNITY OF INCORPORATORS, STOCKHOLDERS, OFFICERS AND DIRECTORS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w:t>
            </w:r>
          </w:p>
        </w:tc>
      </w:tr>
      <w:tr>
        <w:trPr>
          <w:trHeight w:val="246"/>
        </w:trPr>
        <w:tc>
          <w:tcPr>
            <w:tcW w:w="12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Section 12.01</w:t>
            </w:r>
          </w:p>
        </w:tc>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 Recourse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77"/>
        </w:trPr>
        <w:tc>
          <w:tcPr>
            <w:tcW w:w="1240" w:type="dxa"/>
            <w:vAlign w:val="bottom"/>
          </w:tcPr>
          <w:p>
            <w:pPr>
              <w:spacing w:after="0"/>
              <w:rPr>
                <w:sz w:val="24"/>
                <w:szCs w:val="24"/>
                <w:color w:val="auto"/>
              </w:rPr>
            </w:pPr>
          </w:p>
        </w:tc>
        <w:tc>
          <w:tcPr>
            <w:tcW w:w="5900" w:type="dxa"/>
            <w:vAlign w:val="bottom"/>
          </w:tcPr>
          <w:p>
            <w:pPr>
              <w:ind w:left="2840"/>
              <w:spacing w:after="0"/>
              <w:rPr>
                <w:sz w:val="20"/>
                <w:szCs w:val="20"/>
                <w:color w:val="auto"/>
              </w:rPr>
            </w:pPr>
            <w:r>
              <w:rPr>
                <w:rFonts w:ascii="Times New Roman" w:cs="Times New Roman" w:eastAsia="Times New Roman" w:hAnsi="Times New Roman"/>
                <w:sz w:val="14"/>
                <w:szCs w:val="14"/>
                <w:color w:val="auto"/>
              </w:rPr>
              <w:t>-iii-</w:t>
            </w:r>
          </w:p>
        </w:tc>
        <w:tc>
          <w:tcPr>
            <w:tcW w:w="1180" w:type="dxa"/>
            <w:vAlign w:val="bottom"/>
          </w:tcPr>
          <w:p>
            <w:pPr>
              <w:spacing w:after="0"/>
              <w:rPr>
                <w:sz w:val="24"/>
                <w:szCs w:val="24"/>
                <w:color w:val="auto"/>
              </w:rPr>
            </w:pPr>
          </w:p>
        </w:tc>
      </w:tr>
    </w:tbl>
    <w:p>
      <w:pPr>
        <w:sectPr>
          <w:pgSz w:w="11900" w:h="16838" w:orient="portrait"/>
          <w:cols w:equalWidth="0" w:num="1">
            <w:col w:w="9019"/>
          </w:cols>
          <w:pgMar w:left="1440" w:top="236" w:right="1440" w:bottom="1440" w:gutter="0" w:footer="0" w:header="0"/>
        </w:sectPr>
      </w:pPr>
    </w:p>
    <w:bookmarkStart w:id="41" w:name="page42"/>
    <w:bookmarkEnd w:id="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168"/>
        </w:trPr>
        <w:tc>
          <w:tcPr>
            <w:tcW w:w="1240" w:type="dxa"/>
            <w:vAlign w:val="bottom"/>
          </w:tcPr>
          <w:p>
            <w:pPr>
              <w:spacing w:after="0"/>
              <w:rPr>
                <w:sz w:val="14"/>
                <w:szCs w:val="14"/>
                <w:color w:val="auto"/>
              </w:rPr>
            </w:pPr>
          </w:p>
        </w:tc>
        <w:tc>
          <w:tcPr>
            <w:tcW w:w="5260" w:type="dxa"/>
            <w:vAlign w:val="bottom"/>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w w:val="96"/>
              </w:rPr>
              <w:t>TABLE OF CONTENTS</w:t>
            </w:r>
          </w:p>
        </w:tc>
        <w:tc>
          <w:tcPr>
            <w:tcW w:w="1820" w:type="dxa"/>
            <w:vAlign w:val="bottom"/>
          </w:tcPr>
          <w:p>
            <w:pPr>
              <w:spacing w:after="0"/>
              <w:rPr>
                <w:sz w:val="14"/>
                <w:szCs w:val="14"/>
                <w:color w:val="auto"/>
              </w:rPr>
            </w:pPr>
          </w:p>
        </w:tc>
      </w:tr>
      <w:tr>
        <w:trPr>
          <w:trHeight w:val="176"/>
        </w:trPr>
        <w:tc>
          <w:tcPr>
            <w:tcW w:w="1240" w:type="dxa"/>
            <w:vAlign w:val="bottom"/>
          </w:tcPr>
          <w:p>
            <w:pPr>
              <w:spacing w:after="0"/>
              <w:rPr>
                <w:sz w:val="15"/>
                <w:szCs w:val="15"/>
                <w:color w:val="auto"/>
              </w:rPr>
            </w:pPr>
          </w:p>
        </w:tc>
        <w:tc>
          <w:tcPr>
            <w:tcW w:w="5260" w:type="dxa"/>
            <w:vAlign w:val="bottom"/>
          </w:tcPr>
          <w:p>
            <w:pPr>
              <w:jc w:val="center"/>
              <w:ind w:left="552"/>
              <w:spacing w:after="0"/>
              <w:rPr>
                <w:sz w:val="20"/>
                <w:szCs w:val="20"/>
                <w:color w:val="auto"/>
              </w:rPr>
            </w:pPr>
            <w:r>
              <w:rPr>
                <w:rFonts w:ascii="Times New Roman" w:cs="Times New Roman" w:eastAsia="Times New Roman" w:hAnsi="Times New Roman"/>
                <w:sz w:val="14"/>
                <w:szCs w:val="14"/>
                <w:color w:val="auto"/>
                <w:w w:val="99"/>
              </w:rPr>
              <w:t>(continued)</w:t>
            </w:r>
          </w:p>
        </w:tc>
        <w:tc>
          <w:tcPr>
            <w:tcW w:w="1820" w:type="dxa"/>
            <w:vAlign w:val="bottom"/>
          </w:tcPr>
          <w:p>
            <w:pPr>
              <w:spacing w:after="0"/>
              <w:rPr>
                <w:sz w:val="15"/>
                <w:szCs w:val="15"/>
                <w:color w:val="auto"/>
              </w:rPr>
            </w:pPr>
          </w:p>
        </w:tc>
      </w:tr>
      <w:tr>
        <w:trPr>
          <w:trHeight w:val="238"/>
        </w:trPr>
        <w:tc>
          <w:tcPr>
            <w:tcW w:w="12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13 MISCELLANEOUS PROVISIONS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w:t>
            </w:r>
          </w:p>
        </w:tc>
      </w:tr>
      <w:tr>
        <w:trPr>
          <w:trHeight w:val="246"/>
        </w:trPr>
        <w:tc>
          <w:tcPr>
            <w:tcW w:w="1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Section 13.01</w:t>
            </w:r>
          </w:p>
        </w:tc>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Effect on Successors and Assigns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46"/>
        </w:trPr>
        <w:tc>
          <w:tcPr>
            <w:tcW w:w="1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Section 13.02</w:t>
            </w:r>
          </w:p>
        </w:tc>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Actions by Successor</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46"/>
        </w:trPr>
        <w:tc>
          <w:tcPr>
            <w:tcW w:w="1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Section 13.03</w:t>
            </w:r>
          </w:p>
        </w:tc>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Surrender of Company Powers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46"/>
        </w:trPr>
        <w:tc>
          <w:tcPr>
            <w:tcW w:w="1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Section 13.04</w:t>
            </w:r>
          </w:p>
        </w:tc>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Notices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46"/>
        </w:trPr>
        <w:tc>
          <w:tcPr>
            <w:tcW w:w="1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Section 13.05</w:t>
            </w:r>
          </w:p>
        </w:tc>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Governing Law: Jury Trial Waiver</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46"/>
        </w:trPr>
        <w:tc>
          <w:tcPr>
            <w:tcW w:w="1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Section 13.06</w:t>
            </w:r>
          </w:p>
        </w:tc>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Treatment of Securities as Debt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46"/>
        </w:trPr>
        <w:tc>
          <w:tcPr>
            <w:tcW w:w="1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Section 13.07</w:t>
            </w:r>
          </w:p>
        </w:tc>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Certificates and Opinions as to Conditions Precedent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46"/>
        </w:trPr>
        <w:tc>
          <w:tcPr>
            <w:tcW w:w="1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Section 13.08</w:t>
            </w:r>
          </w:p>
        </w:tc>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on Business Days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46"/>
        </w:trPr>
        <w:tc>
          <w:tcPr>
            <w:tcW w:w="1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Section 13.09</w:t>
            </w:r>
          </w:p>
        </w:tc>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Conflict with Trust Indenture Act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46"/>
        </w:trPr>
        <w:tc>
          <w:tcPr>
            <w:tcW w:w="1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Section 13.10</w:t>
            </w:r>
          </w:p>
        </w:tc>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Counterparts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46"/>
        </w:trPr>
        <w:tc>
          <w:tcPr>
            <w:tcW w:w="1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Section 13.11</w:t>
            </w:r>
          </w:p>
        </w:tc>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Separability</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46"/>
        </w:trPr>
        <w:tc>
          <w:tcPr>
            <w:tcW w:w="1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Section 13.12</w:t>
            </w:r>
          </w:p>
        </w:tc>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Compliance Certificates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46"/>
        </w:trPr>
        <w:tc>
          <w:tcPr>
            <w:tcW w:w="1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Section 13.13</w:t>
            </w:r>
          </w:p>
        </w:tc>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USA PATRIOT ACT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46"/>
        </w:trPr>
        <w:tc>
          <w:tcPr>
            <w:tcW w:w="1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Section 13.14</w:t>
            </w:r>
          </w:p>
        </w:tc>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Calculations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77"/>
        </w:trPr>
        <w:tc>
          <w:tcPr>
            <w:tcW w:w="1240" w:type="dxa"/>
            <w:vAlign w:val="bottom"/>
          </w:tcPr>
          <w:p>
            <w:pPr>
              <w:spacing w:after="0"/>
              <w:rPr>
                <w:sz w:val="24"/>
                <w:szCs w:val="24"/>
                <w:color w:val="auto"/>
              </w:rPr>
            </w:pPr>
          </w:p>
        </w:tc>
        <w:tc>
          <w:tcPr>
            <w:tcW w:w="5260" w:type="dxa"/>
            <w:vAlign w:val="bottom"/>
          </w:tcPr>
          <w:p>
            <w:pPr>
              <w:jc w:val="center"/>
              <w:ind w:left="552"/>
              <w:spacing w:after="0"/>
              <w:rPr>
                <w:sz w:val="20"/>
                <w:szCs w:val="20"/>
                <w:color w:val="auto"/>
              </w:rPr>
            </w:pPr>
            <w:r>
              <w:rPr>
                <w:rFonts w:ascii="Times New Roman" w:cs="Times New Roman" w:eastAsia="Times New Roman" w:hAnsi="Times New Roman"/>
                <w:sz w:val="14"/>
                <w:szCs w:val="14"/>
                <w:color w:val="auto"/>
                <w:w w:val="98"/>
              </w:rPr>
              <w:t>-iv-</w:t>
            </w:r>
          </w:p>
        </w:tc>
        <w:tc>
          <w:tcPr>
            <w:tcW w:w="1820" w:type="dxa"/>
            <w:vAlign w:val="bottom"/>
          </w:tcPr>
          <w:p>
            <w:pPr>
              <w:spacing w:after="0"/>
              <w:rPr>
                <w:sz w:val="24"/>
                <w:szCs w:val="24"/>
                <w:color w:val="auto"/>
              </w:rPr>
            </w:pPr>
          </w:p>
        </w:tc>
      </w:tr>
    </w:tbl>
    <w:p>
      <w:pPr>
        <w:sectPr>
          <w:pgSz w:w="11900" w:h="16838" w:orient="portrait"/>
          <w:cols w:equalWidth="0" w:num="1">
            <w:col w:w="9019"/>
          </w:cols>
          <w:pgMar w:left="1440" w:top="236" w:right="1440"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INDENTURE</w:t>
      </w:r>
    </w:p>
    <w:p>
      <w:pPr>
        <w:spacing w:after="0" w:line="167" w:lineRule="exact"/>
        <w:rPr>
          <w:sz w:val="20"/>
          <w:szCs w:val="20"/>
          <w:color w:val="auto"/>
        </w:rPr>
      </w:pPr>
    </w:p>
    <w:p>
      <w:pPr>
        <w:ind w:left="320" w:right="779" w:firstLine="335"/>
        <w:spacing w:after="0" w:line="272" w:lineRule="auto"/>
        <w:rPr>
          <w:sz w:val="20"/>
          <w:szCs w:val="20"/>
          <w:color w:val="auto"/>
        </w:rPr>
      </w:pP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 dated as of [•], 202[•], among</w:t>
      </w:r>
      <w:r>
        <w:rPr>
          <w:rFonts w:ascii="Times New Roman" w:cs="Times New Roman" w:eastAsia="Times New Roman" w:hAnsi="Times New Roman"/>
          <w:sz w:val="14"/>
          <w:szCs w:val="14"/>
          <w:b w:val="1"/>
          <w:bCs w:val="1"/>
          <w:color w:val="auto"/>
        </w:rPr>
        <w:t xml:space="preserve"> Q32 BIO INC.</w:t>
      </w:r>
      <w:r>
        <w:rPr>
          <w:rFonts w:ascii="Times New Roman" w:cs="Times New Roman" w:eastAsia="Times New Roman" w:hAnsi="Times New Roman"/>
          <w:sz w:val="14"/>
          <w:szCs w:val="14"/>
          <w:color w:val="auto"/>
        </w:rPr>
        <w:t>,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and</w:t>
      </w:r>
      <w:r>
        <w:rPr>
          <w:rFonts w:ascii="Times New Roman" w:cs="Times New Roman" w:eastAsia="Times New Roman" w:hAnsi="Times New Roman"/>
          <w:sz w:val="14"/>
          <w:szCs w:val="14"/>
          <w:b w:val="1"/>
          <w:bCs w:val="1"/>
          <w:color w:val="auto"/>
        </w:rPr>
        <w:t xml:space="preserve"> [TRUSTEE] </w:t>
      </w:r>
      <w:r>
        <w:rPr>
          <w:rFonts w:ascii="Times New Roman" w:cs="Times New Roman" w:eastAsia="Times New Roman" w:hAnsi="Times New Roman"/>
          <w:sz w:val="14"/>
          <w:szCs w:val="14"/>
          <w:color w:val="auto"/>
        </w:rPr>
        <w:t>as trustee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Trustee</w:t>
      </w:r>
      <w:r>
        <w:rPr>
          <w:rFonts w:ascii="Times New Roman" w:cs="Times New Roman" w:eastAsia="Times New Roman" w:hAnsi="Times New Roman"/>
          <w:sz w:val="14"/>
          <w:szCs w:val="14"/>
          <w:color w:val="auto"/>
        </w:rPr>
        <w:t>”):</w:t>
      </w:r>
    </w:p>
    <w:p>
      <w:pPr>
        <w:spacing w:after="0" w:line="45" w:lineRule="exact"/>
        <w:rPr>
          <w:sz w:val="20"/>
          <w:szCs w:val="20"/>
          <w:color w:val="auto"/>
        </w:rPr>
      </w:pPr>
    </w:p>
    <w:p>
      <w:pPr>
        <w:ind w:left="320" w:right="399" w:firstLine="335"/>
        <w:spacing w:after="0" w:line="287"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for its lawful corporate purposes, the Company has duly authorized the execution and delivery of this Indenture to provide for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issuance of debt securities (hereinafter referred to as the “</w:t>
      </w:r>
      <w:r>
        <w:rPr>
          <w:rFonts w:ascii="Times New Roman" w:cs="Times New Roman" w:eastAsia="Times New Roman" w:hAnsi="Times New Roman"/>
          <w:sz w:val="13"/>
          <w:szCs w:val="13"/>
          <w:b w:val="1"/>
          <w:bCs w:val="1"/>
          <w:color w:val="auto"/>
        </w:rPr>
        <w:t>Securities</w:t>
      </w:r>
      <w:r>
        <w:rPr>
          <w:rFonts w:ascii="Times New Roman" w:cs="Times New Roman" w:eastAsia="Times New Roman" w:hAnsi="Times New Roman"/>
          <w:sz w:val="13"/>
          <w:szCs w:val="13"/>
          <w:color w:val="auto"/>
        </w:rPr>
        <w:t>”), in an unlimited aggregate principal amount to be issued from time to time in one or more series as in this Indenture provided, as registered Securities without coupons, to be authenticated by the certificate of the Trustee;</w:t>
      </w:r>
    </w:p>
    <w:p>
      <w:pPr>
        <w:spacing w:after="0" w:line="120" w:lineRule="exact"/>
        <w:rPr>
          <w:sz w:val="20"/>
          <w:szCs w:val="20"/>
          <w:color w:val="auto"/>
        </w:rPr>
      </w:pPr>
    </w:p>
    <w:p>
      <w:pPr>
        <w:ind w:left="320" w:right="459" w:firstLine="335"/>
        <w:spacing w:after="0" w:line="272"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to provide the terms and conditions upon which the Securities are to be authenticated, issued and delivered, the Company has duly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authorized the execution of this Indenture; and</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all things necessary to make this Indenture a valid and binding agreement of the Company, in accordance with its terms, have been</w:t>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done.</w:t>
      </w:r>
    </w:p>
    <w:p>
      <w:pPr>
        <w:spacing w:after="0" w:line="152" w:lineRule="exact"/>
        <w:rPr>
          <w:sz w:val="20"/>
          <w:szCs w:val="20"/>
          <w:color w:val="auto"/>
        </w:rPr>
      </w:pPr>
    </w:p>
    <w:p>
      <w:pPr>
        <w:ind w:left="320" w:right="519" w:firstLine="335"/>
        <w:spacing w:after="0" w:line="272" w:lineRule="auto"/>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premises and the purchase of the Securities by the holders thereof, it is mutually covenanted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agreed as follows for the equal and ratable benefit of the holders of Securities:</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1</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1.01 </w:t>
      </w:r>
      <w:r>
        <w:rPr>
          <w:rFonts w:ascii="Times New Roman" w:cs="Times New Roman" w:eastAsia="Times New Roman" w:hAnsi="Times New Roman"/>
          <w:sz w:val="14"/>
          <w:szCs w:val="14"/>
          <w:u w:val="single" w:color="auto"/>
          <w:color w:val="auto"/>
        </w:rPr>
        <w:t>Definitions of Terms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335"/>
        <w:spacing w:after="0" w:line="249" w:lineRule="auto"/>
        <w:rPr>
          <w:sz w:val="20"/>
          <w:szCs w:val="20"/>
          <w:color w:val="auto"/>
        </w:rPr>
      </w:pPr>
      <w:r>
        <w:rPr>
          <w:rFonts w:ascii="Times New Roman" w:cs="Times New Roman" w:eastAsia="Times New Roman" w:hAnsi="Times New Roman"/>
          <w:sz w:val="14"/>
          <w:szCs w:val="14"/>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43" w:lineRule="exact"/>
        <w:rPr>
          <w:sz w:val="20"/>
          <w:szCs w:val="20"/>
          <w:color w:val="auto"/>
        </w:rPr>
      </w:pPr>
    </w:p>
    <w:p>
      <w:pPr>
        <w:ind w:left="320" w:right="459" w:firstLine="33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Authenticating Agent</w:t>
      </w:r>
      <w:r>
        <w:rPr>
          <w:rFonts w:ascii="Times New Roman" w:cs="Times New Roman" w:eastAsia="Times New Roman" w:hAnsi="Times New Roman"/>
          <w:sz w:val="14"/>
          <w:szCs w:val="14"/>
          <w:color w:val="auto"/>
        </w:rPr>
        <w:t xml:space="preserve">” means an authenticating agent with respect to all or any of the series of Securities appointed by the Trustee pursuant to </w:t>
      </w:r>
      <w:r>
        <w:rPr>
          <w:rFonts w:ascii="Times New Roman" w:cs="Times New Roman" w:eastAsia="Times New Roman" w:hAnsi="Times New Roman"/>
          <w:sz w:val="14"/>
          <w:szCs w:val="14"/>
          <w:u w:val="single" w:color="auto"/>
          <w:color w:val="auto"/>
        </w:rPr>
        <w:t>Section 2.10</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Bankruptcy Law</w:t>
      </w:r>
      <w:r>
        <w:rPr>
          <w:rFonts w:ascii="Times New Roman" w:cs="Times New Roman" w:eastAsia="Times New Roman" w:hAnsi="Times New Roman"/>
          <w:sz w:val="14"/>
          <w:szCs w:val="14"/>
          <w:color w:val="auto"/>
        </w:rPr>
        <w:t>” means Title 11, U.S. Code, or any similar federal or state law for the relief of debtors.</w:t>
      </w:r>
    </w:p>
    <w:p>
      <w:pPr>
        <w:spacing w:after="0" w:line="167" w:lineRule="exact"/>
        <w:rPr>
          <w:sz w:val="20"/>
          <w:szCs w:val="20"/>
          <w:color w:val="auto"/>
        </w:rPr>
      </w:pPr>
    </w:p>
    <w:p>
      <w:pPr>
        <w:ind w:left="320" w:right="519" w:firstLine="33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Board of Directors</w:t>
      </w:r>
      <w:r>
        <w:rPr>
          <w:rFonts w:ascii="Times New Roman" w:cs="Times New Roman" w:eastAsia="Times New Roman" w:hAnsi="Times New Roman"/>
          <w:sz w:val="14"/>
          <w:szCs w:val="14"/>
          <w:color w:val="auto"/>
        </w:rPr>
        <w:t>” means the Board of Directors (or the functional equivalent thereof) of the Company or any duly authorized committee of such Board.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6" w:right="1440" w:bottom="1440" w:gutter="0" w:footer="0" w:header="0"/>
        </w:sectPr>
      </w:pPr>
    </w:p>
    <w:bookmarkStart w:id="43" w:name="page44"/>
    <w:bookmarkEnd w:id="43"/>
    <w:p>
      <w:pPr>
        <w:ind w:left="320" w:right="419" w:firstLine="335"/>
        <w:spacing w:after="0" w:line="27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Board Resolution</w:t>
      </w:r>
      <w:r>
        <w:rPr>
          <w:rFonts w:ascii="Times New Roman" w:cs="Times New Roman" w:eastAsia="Times New Roman" w:hAnsi="Times New Roman"/>
          <w:sz w:val="14"/>
          <w:szCs w:val="14"/>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27" w:lineRule="exact"/>
        <w:rPr>
          <w:sz w:val="20"/>
          <w:szCs w:val="20"/>
          <w:color w:val="auto"/>
        </w:rPr>
      </w:pPr>
    </w:p>
    <w:p>
      <w:pPr>
        <w:ind w:left="320" w:right="659" w:firstLine="335"/>
        <w:spacing w:after="0" w:line="31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Business Day</w:t>
      </w:r>
      <w:r>
        <w:rPr>
          <w:rFonts w:ascii="Times New Roman" w:cs="Times New Roman" w:eastAsia="Times New Roman" w:hAnsi="Times New Roman"/>
          <w:sz w:val="13"/>
          <w:szCs w:val="13"/>
          <w:color w:val="auto"/>
        </w:rPr>
        <w:t>” means, with respect to any series of Securities, any day other than a day on which federal or state banking institutions in the Borough of Manhattan, the City of New York, or at a place of payment, are authorized or obligated by law, executive order or regulation to close.</w:t>
      </w:r>
    </w:p>
    <w:p>
      <w:pPr>
        <w:spacing w:after="0" w:line="104" w:lineRule="exact"/>
        <w:rPr>
          <w:sz w:val="20"/>
          <w:szCs w:val="20"/>
          <w:color w:val="auto"/>
        </w:rPr>
      </w:pPr>
    </w:p>
    <w:p>
      <w:pPr>
        <w:ind w:left="320" w:right="439" w:firstLine="335"/>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37" w:lineRule="exact"/>
        <w:rPr>
          <w:sz w:val="20"/>
          <w:szCs w:val="20"/>
          <w:color w:val="auto"/>
        </w:rPr>
      </w:pPr>
    </w:p>
    <w:p>
      <w:pPr>
        <w:ind w:left="320" w:right="339" w:firstLine="33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xml:space="preserve">” means Q32 Bio Inc., a corporation duly organized and existing under the laws of the State of Delaware, and, subject to the provisions of </w:t>
      </w:r>
      <w:r>
        <w:rPr>
          <w:rFonts w:ascii="Times New Roman" w:cs="Times New Roman" w:eastAsia="Times New Roman" w:hAnsi="Times New Roman"/>
          <w:sz w:val="14"/>
          <w:szCs w:val="14"/>
          <w:u w:val="single" w:color="auto"/>
          <w:color w:val="auto"/>
        </w:rPr>
        <w:t>Article 10</w:t>
      </w:r>
      <w:r>
        <w:rPr>
          <w:rFonts w:ascii="Times New Roman" w:cs="Times New Roman" w:eastAsia="Times New Roman" w:hAnsi="Times New Roman"/>
          <w:sz w:val="14"/>
          <w:szCs w:val="14"/>
          <w:color w:val="auto"/>
        </w:rPr>
        <w:t>, shall also include its successors and assigns.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Order</w:t>
      </w:r>
      <w:r>
        <w:rPr>
          <w:rFonts w:ascii="Times New Roman" w:cs="Times New Roman" w:eastAsia="Times New Roman" w:hAnsi="Times New Roman"/>
          <w:sz w:val="14"/>
          <w:szCs w:val="14"/>
          <w:color w:val="auto"/>
        </w:rPr>
        <w:t>” means a written order of the Company, signed by an Officer of the Company, and delivered to the Trustee.</w:t>
      </w:r>
    </w:p>
    <w:p>
      <w:pPr>
        <w:spacing w:after="0" w:line="167" w:lineRule="exact"/>
        <w:rPr>
          <w:sz w:val="20"/>
          <w:szCs w:val="20"/>
          <w:color w:val="auto"/>
        </w:rPr>
      </w:pPr>
    </w:p>
    <w:p>
      <w:pPr>
        <w:ind w:left="320" w:right="679" w:firstLine="33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Corporate Trust Office</w:t>
      </w:r>
      <w:r>
        <w:rPr>
          <w:rFonts w:ascii="Times New Roman" w:cs="Times New Roman" w:eastAsia="Times New Roman" w:hAnsi="Times New Roman"/>
          <w:sz w:val="14"/>
          <w:szCs w:val="14"/>
          <w:color w:val="auto"/>
        </w:rPr>
        <w:t>” means the office of the Trustee at which, at any particular time, its corporate trust business shall be administered, which office at the date hereof is located at.</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Custodian</w:t>
      </w:r>
      <w:r>
        <w:rPr>
          <w:rFonts w:ascii="Times New Roman" w:cs="Times New Roman" w:eastAsia="Times New Roman" w:hAnsi="Times New Roman"/>
          <w:sz w:val="14"/>
          <w:szCs w:val="14"/>
          <w:color w:val="auto"/>
        </w:rPr>
        <w:t>” means any receiver, trustee, assignee, liquidator or similar official under any Bankruptcy Law.</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Defaulted Interest</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2.03</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59" w:firstLine="335"/>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Depositary</w:t>
      </w:r>
      <w:r>
        <w:rPr>
          <w:rFonts w:ascii="Times New Roman" w:cs="Times New Roman" w:eastAsia="Times New Roman" w:hAnsi="Times New Roman"/>
          <w:sz w:val="14"/>
          <w:szCs w:val="14"/>
          <w:color w:val="auto"/>
        </w:rPr>
        <w:t xml:space="preserve">”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2.11</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ind w:left="320" w:right="359" w:firstLine="33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Event of Default</w:t>
      </w:r>
      <w:r>
        <w:rPr>
          <w:rFonts w:ascii="Times New Roman" w:cs="Times New Roman" w:eastAsia="Times New Roman" w:hAnsi="Times New Roman"/>
          <w:sz w:val="14"/>
          <w:szCs w:val="14"/>
          <w:color w:val="auto"/>
        </w:rPr>
        <w:t xml:space="preserve">” means, with respect to Securities of a particular series, any event specified in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 continued for the period of time, if any, therein designated.</w:t>
      </w:r>
    </w:p>
    <w:p>
      <w:pPr>
        <w:spacing w:after="0" w:line="127" w:lineRule="exact"/>
        <w:rPr>
          <w:sz w:val="20"/>
          <w:szCs w:val="20"/>
          <w:color w:val="auto"/>
        </w:rPr>
      </w:pPr>
    </w:p>
    <w:p>
      <w:pPr>
        <w:ind w:left="320" w:right="579" w:firstLine="33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means the United States Securities and Exchange Act of 1934, as amended, and the rules and regulations promulgated by the Commission thereunder.</w:t>
      </w:r>
    </w:p>
    <w:p>
      <w:pPr>
        <w:spacing w:after="0" w:line="127" w:lineRule="exact"/>
        <w:rPr>
          <w:sz w:val="20"/>
          <w:szCs w:val="20"/>
          <w:color w:val="auto"/>
        </w:rPr>
      </w:pPr>
    </w:p>
    <w:p>
      <w:pPr>
        <w:ind w:left="320" w:right="339" w:firstLine="335"/>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Global Security</w:t>
      </w:r>
      <w:r>
        <w:rPr>
          <w:rFonts w:ascii="Times New Roman" w:cs="Times New Roman" w:eastAsia="Times New Roman" w:hAnsi="Times New Roman"/>
          <w:sz w:val="14"/>
          <w:szCs w:val="14"/>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6" w:right="1440" w:bottom="1440" w:gutter="0" w:footer="0" w:header="0"/>
        </w:sectPr>
      </w:pPr>
    </w:p>
    <w:bookmarkStart w:id="44" w:name="page45"/>
    <w:bookmarkEnd w:id="44"/>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Governmental Obligations</w:t>
      </w:r>
      <w:r>
        <w:rPr>
          <w:rFonts w:ascii="Times New Roman" w:cs="Times New Roman" w:eastAsia="Times New Roman" w:hAnsi="Times New Roman"/>
          <w:sz w:val="14"/>
          <w:szCs w:val="14"/>
          <w:color w:val="auto"/>
        </w:rPr>
        <w:t xml:space="preserve">”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applicable series of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however, </w:t>
      </w:r>
      <w:r>
        <w:rPr>
          <w:rFonts w:ascii="Times New Roman" w:cs="Times New Roman" w:eastAsia="Times New Roman" w:hAnsi="Times New Roman"/>
          <w:sz w:val="14"/>
          <w:szCs w:val="14"/>
          <w:color w:val="auto"/>
        </w:rPr>
        <w:t>that (except as required by law) such custodian is not authorized to make any deduction from the amount payable to the holder of such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depositary receipt from any amount received by the custodian in respect of the Governmental Obligation or the specific payment of principal of or interest on the Governmental Obligation evidenced by such depositary receipt.</w:t>
      </w:r>
    </w:p>
    <w:p>
      <w:pPr>
        <w:spacing w:after="0" w:line="144" w:lineRule="exact"/>
        <w:rPr>
          <w:sz w:val="20"/>
          <w:szCs w:val="20"/>
          <w:color w:val="auto"/>
        </w:rPr>
      </w:pPr>
    </w:p>
    <w:p>
      <w:pPr>
        <w:ind w:left="320" w:right="719" w:firstLine="33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herein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hereunder</w:t>
      </w:r>
      <w:r>
        <w:rPr>
          <w:rFonts w:ascii="Times New Roman" w:cs="Times New Roman" w:eastAsia="Times New Roman" w:hAnsi="Times New Roman"/>
          <w:sz w:val="14"/>
          <w:szCs w:val="14"/>
          <w:color w:val="auto"/>
        </w:rPr>
        <w:t>”, and other words of similar import, refer to this Indenture as a whole and not to any particular Article, Section or other subdivision.</w:t>
      </w:r>
    </w:p>
    <w:p>
      <w:pPr>
        <w:spacing w:after="0" w:line="127" w:lineRule="exact"/>
        <w:rPr>
          <w:sz w:val="20"/>
          <w:szCs w:val="20"/>
          <w:color w:val="auto"/>
        </w:rPr>
      </w:pPr>
    </w:p>
    <w:p>
      <w:pPr>
        <w:ind w:left="320" w:right="419" w:firstLine="335"/>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 xml:space="preserve">”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jc w:val="both"/>
        <w:ind w:left="320" w:right="539" w:firstLine="335"/>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Interest Payment Date</w:t>
      </w:r>
      <w:r>
        <w:rPr>
          <w:rFonts w:ascii="Times New Roman" w:cs="Times New Roman" w:eastAsia="Times New Roman" w:hAnsi="Times New Roman"/>
          <w:sz w:val="14"/>
          <w:szCs w:val="14"/>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37" w:lineRule="exact"/>
        <w:rPr>
          <w:sz w:val="20"/>
          <w:szCs w:val="20"/>
          <w:color w:val="auto"/>
        </w:rPr>
      </w:pPr>
    </w:p>
    <w:p>
      <w:pPr>
        <w:ind w:left="320" w:right="439" w:firstLine="335"/>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Officer</w:t>
      </w:r>
      <w:r>
        <w:rPr>
          <w:rFonts w:ascii="Times New Roman" w:cs="Times New Roman" w:eastAsia="Times New Roman" w:hAnsi="Times New Roman"/>
          <w:sz w:val="14"/>
          <w:szCs w:val="14"/>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37" w:lineRule="exact"/>
        <w:rPr>
          <w:sz w:val="20"/>
          <w:szCs w:val="20"/>
          <w:color w:val="auto"/>
        </w:rPr>
      </w:pPr>
    </w:p>
    <w:p>
      <w:pPr>
        <w:ind w:left="320" w:right="379" w:firstLine="33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Officer’s Certificate</w:t>
      </w:r>
      <w:r>
        <w:rPr>
          <w:rFonts w:ascii="Times New Roman" w:cs="Times New Roman" w:eastAsia="Times New Roman" w:hAnsi="Times New Roman"/>
          <w:sz w:val="14"/>
          <w:szCs w:val="14"/>
          <w:color w:val="auto"/>
        </w:rPr>
        <w:t xml:space="preserve">” means a certificate signed by any Officer. Each such certificate shall include the statements provided for in </w:t>
      </w:r>
      <w:r>
        <w:rPr>
          <w:rFonts w:ascii="Times New Roman" w:cs="Times New Roman" w:eastAsia="Times New Roman" w:hAnsi="Times New Roman"/>
          <w:sz w:val="14"/>
          <w:szCs w:val="14"/>
          <w:u w:val="single" w:color="auto"/>
          <w:color w:val="auto"/>
        </w:rPr>
        <w:t>Section 13.07</w:t>
      </w:r>
      <w:r>
        <w:rPr>
          <w:rFonts w:ascii="Times New Roman" w:cs="Times New Roman" w:eastAsia="Times New Roman" w:hAnsi="Times New Roman"/>
          <w:sz w:val="14"/>
          <w:szCs w:val="14"/>
          <w:color w:val="auto"/>
        </w:rPr>
        <w:t>, if and to the extent required by the provisions thereof.</w:t>
      </w:r>
    </w:p>
    <w:p>
      <w:pPr>
        <w:spacing w:after="0" w:line="127" w:lineRule="exact"/>
        <w:rPr>
          <w:sz w:val="20"/>
          <w:szCs w:val="20"/>
          <w:color w:val="auto"/>
        </w:rPr>
      </w:pPr>
    </w:p>
    <w:p>
      <w:pPr>
        <w:ind w:left="320" w:right="459" w:firstLine="335"/>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Opinion of Counsel</w:t>
      </w:r>
      <w:r>
        <w:rPr>
          <w:rFonts w:ascii="Times New Roman" w:cs="Times New Roman" w:eastAsia="Times New Roman" w:hAnsi="Times New Roman"/>
          <w:sz w:val="14"/>
          <w:szCs w:val="14"/>
          <w:color w:val="auto"/>
        </w:rPr>
        <w:t xml:space="preserve">” means an opinion in writing subject to customary exceptions of legal counsel, who may be an employee of or counsel for the Company, that is delivered to the Trustee in accordance with the terms hereof. Each such opinion shall include the statements provided for in </w:t>
      </w:r>
      <w:r>
        <w:rPr>
          <w:rFonts w:ascii="Times New Roman" w:cs="Times New Roman" w:eastAsia="Times New Roman" w:hAnsi="Times New Roman"/>
          <w:sz w:val="14"/>
          <w:szCs w:val="14"/>
          <w:u w:val="single" w:color="auto"/>
          <w:color w:val="auto"/>
        </w:rPr>
        <w:t>Section 13.07</w:t>
      </w:r>
      <w:r>
        <w:rPr>
          <w:rFonts w:ascii="Times New Roman" w:cs="Times New Roman" w:eastAsia="Times New Roman" w:hAnsi="Times New Roman"/>
          <w:sz w:val="14"/>
          <w:szCs w:val="14"/>
          <w:color w:val="auto"/>
        </w:rPr>
        <w:t>, if and to the extent required by the provisions thereof.</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6" w:right="1440" w:bottom="1440" w:gutter="0" w:footer="0" w:header="0"/>
        </w:sectPr>
      </w:pPr>
    </w:p>
    <w:bookmarkStart w:id="45" w:name="page46"/>
    <w:bookmarkEnd w:id="45"/>
    <w:p>
      <w:pPr>
        <w:ind w:left="320" w:right="399" w:firstLine="335"/>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Outstanding</w:t>
      </w:r>
      <w:r>
        <w:rPr>
          <w:rFonts w:ascii="Times New Roman" w:cs="Times New Roman" w:eastAsia="Times New Roman" w:hAnsi="Times New Roman"/>
          <w:sz w:val="14"/>
          <w:szCs w:val="14"/>
          <w:color w:val="auto"/>
        </w:rPr>
        <w:t xml:space="preserve">”, when used with reference to Securities of any series, means, subject to the provisions of </w:t>
      </w:r>
      <w:r>
        <w:rPr>
          <w:rFonts w:ascii="Times New Roman" w:cs="Times New Roman" w:eastAsia="Times New Roman" w:hAnsi="Times New Roman"/>
          <w:sz w:val="14"/>
          <w:szCs w:val="14"/>
          <w:u w:val="single" w:color="auto"/>
          <w:color w:val="auto"/>
        </w:rPr>
        <w:t>Section 8.04</w:t>
      </w:r>
      <w:r>
        <w:rPr>
          <w:rFonts w:ascii="Times New Roman" w:cs="Times New Roman" w:eastAsia="Times New Roman" w:hAnsi="Times New Roman"/>
          <w:sz w:val="14"/>
          <w:szCs w:val="14"/>
          <w:color w:val="auto"/>
        </w:rPr>
        <w:t xml:space="preserve">,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if such Securities or portions of such Securities are to be redeemed prior to the maturity thereof, notice of such redemption shall have been given as provided in </w:t>
      </w:r>
      <w:r>
        <w:rPr>
          <w:rFonts w:ascii="Times New Roman" w:cs="Times New Roman" w:eastAsia="Times New Roman" w:hAnsi="Times New Roman"/>
          <w:sz w:val="14"/>
          <w:szCs w:val="14"/>
          <w:u w:val="single" w:color="auto"/>
          <w:color w:val="auto"/>
        </w:rPr>
        <w:t>Article 3</w:t>
      </w:r>
      <w:r>
        <w:rPr>
          <w:rFonts w:ascii="Times New Roman" w:cs="Times New Roman" w:eastAsia="Times New Roman" w:hAnsi="Times New Roman"/>
          <w:sz w:val="14"/>
          <w:szCs w:val="14"/>
          <w:color w:val="auto"/>
        </w:rPr>
        <w:t xml:space="preserve">, or provision satisfactory to the Trustee shall have been made for giving such notice; and (c) Securities in lieu of or in substitution for which other Securities shall have been authenticated and delivered pursuant to the terms of </w:t>
      </w:r>
      <w:r>
        <w:rPr>
          <w:rFonts w:ascii="Times New Roman" w:cs="Times New Roman" w:eastAsia="Times New Roman" w:hAnsi="Times New Roman"/>
          <w:sz w:val="14"/>
          <w:szCs w:val="14"/>
          <w:u w:val="single" w:color="auto"/>
          <w:color w:val="auto"/>
        </w:rPr>
        <w:t>Section 2.07</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320" w:right="499" w:firstLine="335"/>
        <w:spacing w:after="0" w:line="31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w:t>
      </w:r>
      <w:r>
        <w:rPr>
          <w:rFonts w:ascii="Times New Roman" w:cs="Times New Roman" w:eastAsia="Times New Roman" w:hAnsi="Times New Roman"/>
          <w:sz w:val="13"/>
          <w:szCs w:val="13"/>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04" w:lineRule="exact"/>
        <w:rPr>
          <w:sz w:val="20"/>
          <w:szCs w:val="20"/>
          <w:color w:val="auto"/>
        </w:rPr>
      </w:pPr>
    </w:p>
    <w:p>
      <w:pPr>
        <w:ind w:left="320" w:right="499" w:firstLine="335"/>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Predecessor Security</w:t>
      </w:r>
      <w:r>
        <w:rPr>
          <w:rFonts w:ascii="Times New Roman" w:cs="Times New Roman" w:eastAsia="Times New Roman" w:hAnsi="Times New Roman"/>
          <w:sz w:val="14"/>
          <w:szCs w:val="14"/>
          <w:color w:val="auto"/>
        </w:rPr>
        <w:t xml:space="preserve">” of any particular Security means every previous Security evidencing all or a portion of the same debt as that evidenced by such particular Security; and, for the purposes of this definition, any Security authenticated and delivered under </w:t>
      </w:r>
      <w:r>
        <w:rPr>
          <w:rFonts w:ascii="Times New Roman" w:cs="Times New Roman" w:eastAsia="Times New Roman" w:hAnsi="Times New Roman"/>
          <w:sz w:val="14"/>
          <w:szCs w:val="14"/>
          <w:u w:val="single" w:color="auto"/>
          <w:color w:val="auto"/>
        </w:rPr>
        <w:t>Section 2.07</w:t>
      </w:r>
      <w:r>
        <w:rPr>
          <w:rFonts w:ascii="Times New Roman" w:cs="Times New Roman" w:eastAsia="Times New Roman" w:hAnsi="Times New Roman"/>
          <w:sz w:val="14"/>
          <w:szCs w:val="14"/>
          <w:color w:val="auto"/>
        </w:rPr>
        <w:t xml:space="preserve"> in lieu of a lost, destroyed or stolen Security shall be deemed to evidence the same debt as the lost, destroyed or stolen Security.</w:t>
      </w:r>
    </w:p>
    <w:p>
      <w:pPr>
        <w:spacing w:after="0" w:line="137" w:lineRule="exact"/>
        <w:rPr>
          <w:sz w:val="20"/>
          <w:szCs w:val="20"/>
          <w:color w:val="auto"/>
        </w:rPr>
      </w:pPr>
    </w:p>
    <w:p>
      <w:pPr>
        <w:ind w:left="320" w:right="419" w:firstLine="335"/>
        <w:spacing w:after="0" w:line="25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Responsible Officer</w:t>
      </w:r>
      <w:r>
        <w:rPr>
          <w:rFonts w:ascii="Times New Roman" w:cs="Times New Roman" w:eastAsia="Times New Roman" w:hAnsi="Times New Roman"/>
          <w:sz w:val="14"/>
          <w:szCs w:val="14"/>
          <w:color w:val="auto"/>
        </w:rPr>
        <w:t>” when used with respect to the Trustee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in each case, who shall have direct responsibility for the administration of this Indenture (which, for the avoidance of doubt, includes without limitation any supplemental indenture hereto).</w:t>
      </w:r>
    </w:p>
    <w:p>
      <w:pPr>
        <w:spacing w:after="0" w:line="143" w:lineRule="exact"/>
        <w:rPr>
          <w:sz w:val="20"/>
          <w:szCs w:val="20"/>
          <w:color w:val="auto"/>
        </w:rPr>
      </w:pPr>
    </w:p>
    <w:p>
      <w:pPr>
        <w:ind w:left="320" w:right="559" w:firstLine="33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4"/>
          <w:szCs w:val="14"/>
          <w:color w:val="auto"/>
        </w:rPr>
        <w:t>” has the meaning stated in the first recital of this Indenture and more particularly means any Securities authenticated and delivered under this Indenture.</w:t>
      </w:r>
    </w:p>
    <w:p>
      <w:pPr>
        <w:spacing w:after="0" w:line="127" w:lineRule="exact"/>
        <w:rPr>
          <w:sz w:val="20"/>
          <w:szCs w:val="20"/>
          <w:color w:val="auto"/>
        </w:rPr>
      </w:pPr>
    </w:p>
    <w:p>
      <w:pPr>
        <w:ind w:left="320" w:right="759" w:firstLine="33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Securityholder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holder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registered holder</w:t>
      </w:r>
      <w:r>
        <w:rPr>
          <w:rFonts w:ascii="Times New Roman" w:cs="Times New Roman" w:eastAsia="Times New Roman" w:hAnsi="Times New Roman"/>
          <w:sz w:val="14"/>
          <w:szCs w:val="14"/>
          <w:color w:val="auto"/>
        </w:rPr>
        <w:t>”, or other similar term, means the Person or Persons in whose name or names a particular Security is registered on the Security Register kept for that purpose in accordance with the terms of this Indenture.</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Security Register</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Security Registrar</w:t>
      </w:r>
      <w:r>
        <w:rPr>
          <w:rFonts w:ascii="Times New Roman" w:cs="Times New Roman" w:eastAsia="Times New Roman" w:hAnsi="Times New Roman"/>
          <w:sz w:val="14"/>
          <w:szCs w:val="14"/>
          <w:color w:val="auto"/>
        </w:rPr>
        <w:t xml:space="preserve">” shall have the meanings as set forth in </w:t>
      </w:r>
      <w:r>
        <w:rPr>
          <w:rFonts w:ascii="Times New Roman" w:cs="Times New Roman" w:eastAsia="Times New Roman" w:hAnsi="Times New Roman"/>
          <w:sz w:val="14"/>
          <w:szCs w:val="14"/>
          <w:u w:val="single" w:color="auto"/>
          <w:color w:val="auto"/>
        </w:rPr>
        <w:t>Section 2.05</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Subsidiary</w:t>
      </w:r>
      <w:r>
        <w:rPr>
          <w:rFonts w:ascii="Times New Roman" w:cs="Times New Roman" w:eastAsia="Times New Roman" w:hAnsi="Times New Roman"/>
          <w:sz w:val="14"/>
          <w:szCs w:val="14"/>
          <w:color w:val="auto"/>
        </w:rPr>
        <w:t>” means, with respect to any Person:</w:t>
      </w:r>
    </w:p>
    <w:p>
      <w:pPr>
        <w:spacing w:after="0" w:line="89" w:lineRule="exact"/>
        <w:rPr>
          <w:sz w:val="20"/>
          <w:szCs w:val="20"/>
          <w:color w:val="auto"/>
        </w:rPr>
      </w:pPr>
    </w:p>
    <w:p>
      <w:pPr>
        <w:ind w:left="660" w:right="479" w:firstLine="315"/>
        <w:spacing w:after="0" w:line="255" w:lineRule="auto"/>
        <w:tabs>
          <w:tab w:leader="none" w:pos="1167"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corporation or company a majority of whose capital stock with voting power, under ordinary circumstances, to elect directors is, at the date of determination, directly or indirectly, owned by such Person (a “</w:t>
      </w:r>
      <w:r>
        <w:rPr>
          <w:rFonts w:ascii="Times New Roman" w:cs="Times New Roman" w:eastAsia="Times New Roman" w:hAnsi="Times New Roman"/>
          <w:sz w:val="14"/>
          <w:szCs w:val="14"/>
          <w:b w:val="1"/>
          <w:bCs w:val="1"/>
          <w:color w:val="auto"/>
        </w:rPr>
        <w:t>subsidiary</w:t>
      </w:r>
      <w:r>
        <w:rPr>
          <w:rFonts w:ascii="Times New Roman" w:cs="Times New Roman" w:eastAsia="Times New Roman" w:hAnsi="Times New Roman"/>
          <w:sz w:val="14"/>
          <w:szCs w:val="14"/>
          <w:color w:val="auto"/>
        </w:rPr>
        <w:t>”), by one or more subsidiaries of such Person or by such Person and one or more subsidiaries of such Person;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6" w:right="1440" w:bottom="1440" w:gutter="0" w:footer="0" w:header="0"/>
        </w:sectPr>
      </w:pPr>
    </w:p>
    <w:bookmarkStart w:id="46" w:name="page47"/>
    <w:bookmarkEnd w:id="46"/>
    <w:p>
      <w:pPr>
        <w:ind w:left="98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(b) a partnership in which such Person or a subsidiary of such Person is, at the date of determination, a general partner of such partnership;</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or</w:t>
      </w:r>
    </w:p>
    <w:p>
      <w:pPr>
        <w:spacing w:after="0" w:line="74" w:lineRule="exact"/>
        <w:rPr>
          <w:sz w:val="20"/>
          <w:szCs w:val="20"/>
          <w:color w:val="auto"/>
        </w:rPr>
      </w:pPr>
    </w:p>
    <w:p>
      <w:pPr>
        <w:ind w:left="660" w:right="479" w:firstLine="315"/>
        <w:spacing w:after="0" w:line="252" w:lineRule="auto"/>
        <w:tabs>
          <w:tab w:leader="none" w:pos="116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spacing w:after="0" w:line="141" w:lineRule="exact"/>
        <w:rPr>
          <w:sz w:val="20"/>
          <w:szCs w:val="20"/>
          <w:color w:val="auto"/>
        </w:rPr>
      </w:pPr>
    </w:p>
    <w:p>
      <w:pPr>
        <w:jc w:val="both"/>
        <w:ind w:left="320" w:right="379" w:firstLine="335"/>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Trustee</w:t>
      </w:r>
      <w:r>
        <w:rPr>
          <w:rFonts w:ascii="Times New Roman" w:cs="Times New Roman" w:eastAsia="Times New Roman" w:hAnsi="Times New Roman"/>
          <w:sz w:val="14"/>
          <w:szCs w:val="14"/>
          <w:color w:val="auto"/>
        </w:rPr>
        <w:t xml:space="preserve">” means      , and, subject to the provisions of </w:t>
      </w:r>
      <w:r>
        <w:rPr>
          <w:rFonts w:ascii="Times New Roman" w:cs="Times New Roman" w:eastAsia="Times New Roman" w:hAnsi="Times New Roman"/>
          <w:sz w:val="14"/>
          <w:szCs w:val="14"/>
          <w:u w:val="single" w:color="auto"/>
          <w:color w:val="auto"/>
        </w:rPr>
        <w:t>Article 7</w:t>
      </w:r>
      <w:r>
        <w:rPr>
          <w:rFonts w:ascii="Times New Roman" w:cs="Times New Roman" w:eastAsia="Times New Roman" w:hAnsi="Times New Roman"/>
          <w:sz w:val="14"/>
          <w:szCs w:val="14"/>
          <w:color w:val="auto"/>
        </w:rPr>
        <w:t>,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Trust Indenture Act</w:t>
      </w:r>
      <w:r>
        <w:rPr>
          <w:rFonts w:ascii="Times New Roman" w:cs="Times New Roman" w:eastAsia="Times New Roman" w:hAnsi="Times New Roman"/>
          <w:sz w:val="14"/>
          <w:szCs w:val="14"/>
          <w:color w:val="auto"/>
        </w:rPr>
        <w:t>” means the Trust Indenture Act of 1939, as amended and in effect from time to time.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U.S. dollar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means the lawful currency of the United States of America.</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2</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ISSUE, DESCRIPTION, TERMS, EXECUTION, REGISTRATION AND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EXCHANGE OF SECURITIES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2.01 </w:t>
      </w:r>
      <w:r>
        <w:rPr>
          <w:rFonts w:ascii="Times New Roman" w:cs="Times New Roman" w:eastAsia="Times New Roman" w:hAnsi="Times New Roman"/>
          <w:sz w:val="14"/>
          <w:szCs w:val="14"/>
          <w:u w:val="single" w:color="auto"/>
          <w:color w:val="auto"/>
        </w:rPr>
        <w:t>Designation and Terms of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19" w:firstLine="752"/>
        <w:spacing w:after="0" w:line="277" w:lineRule="auto"/>
        <w:tabs>
          <w:tab w:leader="none" w:pos="1259"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48" w:lineRule="exact"/>
        <w:rPr>
          <w:rFonts w:ascii="Times New Roman" w:cs="Times New Roman" w:eastAsia="Times New Roman" w:hAnsi="Times New Roman"/>
          <w:sz w:val="13"/>
          <w:szCs w:val="13"/>
          <w:color w:val="auto"/>
        </w:rPr>
      </w:pPr>
    </w:p>
    <w:p>
      <w:pPr>
        <w:ind w:left="1580" w:hanging="203"/>
        <w:spacing w:after="0"/>
        <w:tabs>
          <w:tab w:leader="none" w:pos="158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Securities of the series (which shall distinguish the Securities of that series from all other Securities);</w:t>
      </w:r>
    </w:p>
    <w:p>
      <w:pPr>
        <w:spacing w:after="0" w:line="85" w:lineRule="exact"/>
        <w:rPr>
          <w:rFonts w:ascii="Times New Roman" w:cs="Times New Roman" w:eastAsia="Times New Roman" w:hAnsi="Times New Roman"/>
          <w:sz w:val="14"/>
          <w:szCs w:val="14"/>
          <w:color w:val="auto"/>
        </w:rPr>
      </w:pPr>
    </w:p>
    <w:p>
      <w:pPr>
        <w:ind w:left="660" w:right="359" w:firstLine="717"/>
        <w:spacing w:after="0" w:line="255" w:lineRule="auto"/>
        <w:tabs>
          <w:tab w:leader="none" w:pos="1577"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spacing w:after="0" w:line="61" w:lineRule="exact"/>
        <w:rPr>
          <w:rFonts w:ascii="Times New Roman" w:cs="Times New Roman" w:eastAsia="Times New Roman" w:hAnsi="Times New Roman"/>
          <w:sz w:val="14"/>
          <w:szCs w:val="14"/>
          <w:color w:val="auto"/>
        </w:rPr>
      </w:pPr>
    </w:p>
    <w:p>
      <w:pPr>
        <w:ind w:left="1580" w:hanging="203"/>
        <w:spacing w:after="0"/>
        <w:tabs>
          <w:tab w:leader="none" w:pos="158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Securities of the series is payable;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47" w:name="page48"/>
    <w:bookmarkEnd w:id="47"/>
    <w:p>
      <w:pPr>
        <w:ind w:left="660" w:right="359" w:firstLine="717"/>
        <w:spacing w:after="0" w:line="252" w:lineRule="auto"/>
        <w:tabs>
          <w:tab w:leader="none" w:pos="157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62" w:lineRule="exact"/>
        <w:rPr>
          <w:rFonts w:ascii="Times New Roman" w:cs="Times New Roman" w:eastAsia="Times New Roman" w:hAnsi="Times New Roman"/>
          <w:sz w:val="14"/>
          <w:szCs w:val="14"/>
          <w:color w:val="auto"/>
        </w:rPr>
      </w:pPr>
    </w:p>
    <w:p>
      <w:pPr>
        <w:ind w:left="1580" w:hanging="203"/>
        <w:spacing w:after="0"/>
        <w:tabs>
          <w:tab w:leader="none" w:pos="15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at which the Securities of the series shall bear interest or the manner of calculation of such rate or rates, if any;</w:t>
      </w:r>
    </w:p>
    <w:p>
      <w:pPr>
        <w:spacing w:after="0" w:line="85" w:lineRule="exact"/>
        <w:rPr>
          <w:rFonts w:ascii="Times New Roman" w:cs="Times New Roman" w:eastAsia="Times New Roman" w:hAnsi="Times New Roman"/>
          <w:sz w:val="14"/>
          <w:szCs w:val="14"/>
          <w:color w:val="auto"/>
        </w:rPr>
      </w:pPr>
    </w:p>
    <w:p>
      <w:pPr>
        <w:ind w:left="660" w:right="459" w:firstLine="717"/>
        <w:spacing w:after="0" w:line="255" w:lineRule="auto"/>
        <w:tabs>
          <w:tab w:leader="none" w:pos="157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61" w:lineRule="exact"/>
        <w:rPr>
          <w:rFonts w:ascii="Times New Roman" w:cs="Times New Roman" w:eastAsia="Times New Roman" w:hAnsi="Times New Roman"/>
          <w:sz w:val="14"/>
          <w:szCs w:val="14"/>
          <w:color w:val="auto"/>
        </w:rPr>
      </w:pPr>
    </w:p>
    <w:p>
      <w:pPr>
        <w:ind w:left="1580" w:hanging="203"/>
        <w:spacing w:after="0"/>
        <w:tabs>
          <w:tab w:leader="none" w:pos="15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if any, to extend the interest payment periods and the duration of such extension;</w:t>
      </w:r>
    </w:p>
    <w:p>
      <w:pPr>
        <w:spacing w:after="0" w:line="85" w:lineRule="exact"/>
        <w:rPr>
          <w:rFonts w:ascii="Times New Roman" w:cs="Times New Roman" w:eastAsia="Times New Roman" w:hAnsi="Times New Roman"/>
          <w:sz w:val="14"/>
          <w:szCs w:val="14"/>
          <w:color w:val="auto"/>
        </w:rPr>
      </w:pPr>
    </w:p>
    <w:p>
      <w:pPr>
        <w:ind w:left="660" w:right="459" w:firstLine="717"/>
        <w:spacing w:after="0" w:line="266" w:lineRule="auto"/>
        <w:tabs>
          <w:tab w:leader="none" w:pos="157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the price or prices at which and the terms and conditions upon which Securities of the series may be redeemed, converted or exchanged, in whole or in part;</w:t>
      </w:r>
    </w:p>
    <w:p>
      <w:pPr>
        <w:spacing w:after="0" w:line="53" w:lineRule="exact"/>
        <w:rPr>
          <w:rFonts w:ascii="Times New Roman" w:cs="Times New Roman" w:eastAsia="Times New Roman" w:hAnsi="Times New Roman"/>
          <w:sz w:val="14"/>
          <w:szCs w:val="14"/>
          <w:color w:val="auto"/>
        </w:rPr>
      </w:pPr>
    </w:p>
    <w:p>
      <w:pPr>
        <w:jc w:val="both"/>
        <w:ind w:left="660" w:right="599" w:firstLine="717"/>
        <w:spacing w:after="0" w:line="252" w:lineRule="auto"/>
        <w:tabs>
          <w:tab w:leader="none" w:pos="157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62" w:lineRule="exact"/>
        <w:rPr>
          <w:rFonts w:ascii="Times New Roman" w:cs="Times New Roman" w:eastAsia="Times New Roman" w:hAnsi="Times New Roman"/>
          <w:sz w:val="14"/>
          <w:szCs w:val="14"/>
          <w:color w:val="auto"/>
        </w:rPr>
      </w:pPr>
    </w:p>
    <w:p>
      <w:pPr>
        <w:ind w:left="1640" w:hanging="263"/>
        <w:spacing w:after="0"/>
        <w:tabs>
          <w:tab w:leader="none" w:pos="1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the Securities of the series including the form of the Certificate of Authentication for such series;</w:t>
      </w:r>
    </w:p>
    <w:p>
      <w:pPr>
        <w:spacing w:after="0" w:line="85" w:lineRule="exact"/>
        <w:rPr>
          <w:rFonts w:ascii="Times New Roman" w:cs="Times New Roman" w:eastAsia="Times New Roman" w:hAnsi="Times New Roman"/>
          <w:sz w:val="14"/>
          <w:szCs w:val="14"/>
          <w:color w:val="auto"/>
        </w:rPr>
      </w:pPr>
    </w:p>
    <w:p>
      <w:pPr>
        <w:ind w:left="660" w:right="679" w:firstLine="717"/>
        <w:spacing w:after="0" w:line="266" w:lineRule="auto"/>
        <w:tabs>
          <w:tab w:leader="none" w:pos="1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minimum denominations of one thousand U.S. dollars ($1,000) or any integral multiple of $1,000 thereof, the denominations in which the Securities of the series shall be issuable;</w:t>
      </w:r>
    </w:p>
    <w:p>
      <w:pPr>
        <w:spacing w:after="0" w:line="53" w:lineRule="exact"/>
        <w:rPr>
          <w:rFonts w:ascii="Times New Roman" w:cs="Times New Roman" w:eastAsia="Times New Roman" w:hAnsi="Times New Roman"/>
          <w:sz w:val="14"/>
          <w:szCs w:val="14"/>
          <w:color w:val="auto"/>
        </w:rPr>
      </w:pPr>
    </w:p>
    <w:p>
      <w:pPr>
        <w:ind w:left="660" w:right="399" w:firstLine="717"/>
        <w:spacing w:after="0" w:line="252" w:lineRule="auto"/>
        <w:tabs>
          <w:tab w:leader="none" w:pos="1645"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62" w:lineRule="exact"/>
        <w:rPr>
          <w:rFonts w:ascii="Times New Roman" w:cs="Times New Roman" w:eastAsia="Times New Roman" w:hAnsi="Times New Roman"/>
          <w:sz w:val="14"/>
          <w:szCs w:val="14"/>
          <w:color w:val="auto"/>
        </w:rPr>
      </w:pPr>
    </w:p>
    <w:p>
      <w:pPr>
        <w:ind w:left="660" w:right="339" w:firstLine="717"/>
        <w:spacing w:after="0" w:line="255" w:lineRule="auto"/>
        <w:tabs>
          <w:tab w:leader="none" w:pos="1645"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48" w:name="page49"/>
    <w:bookmarkEnd w:id="48"/>
    <w:p>
      <w:pPr>
        <w:ind w:left="660" w:right="479" w:firstLine="717"/>
        <w:spacing w:after="0" w:line="277" w:lineRule="auto"/>
        <w:tabs>
          <w:tab w:leader="none" w:pos="1645"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48" w:lineRule="exact"/>
        <w:rPr>
          <w:rFonts w:ascii="Times New Roman" w:cs="Times New Roman" w:eastAsia="Times New Roman" w:hAnsi="Times New Roman"/>
          <w:sz w:val="13"/>
          <w:szCs w:val="13"/>
          <w:color w:val="auto"/>
        </w:rPr>
      </w:pPr>
    </w:p>
    <w:p>
      <w:pPr>
        <w:ind w:left="660" w:right="679" w:firstLine="717"/>
        <w:spacing w:after="0" w:line="266" w:lineRule="auto"/>
        <w:tabs>
          <w:tab w:leader="none" w:pos="1645"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other than the full principal amount thereof, the portion of the principal amount of Securities of the series which shall be payable upon declaration of acceleration of the maturity thereof pursuant to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w:t>
      </w:r>
    </w:p>
    <w:p>
      <w:pPr>
        <w:spacing w:after="0" w:line="53" w:lineRule="exact"/>
        <w:rPr>
          <w:rFonts w:ascii="Times New Roman" w:cs="Times New Roman" w:eastAsia="Times New Roman" w:hAnsi="Times New Roman"/>
          <w:sz w:val="14"/>
          <w:szCs w:val="14"/>
          <w:color w:val="auto"/>
        </w:rPr>
      </w:pPr>
    </w:p>
    <w:p>
      <w:pPr>
        <w:ind w:left="1640" w:hanging="263"/>
        <w:spacing w:after="0"/>
        <w:tabs>
          <w:tab w:leader="none" w:pos="1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or alternative Events of Default;</w:t>
      </w:r>
    </w:p>
    <w:p>
      <w:pPr>
        <w:spacing w:after="0" w:line="85" w:lineRule="exact"/>
        <w:rPr>
          <w:rFonts w:ascii="Times New Roman" w:cs="Times New Roman" w:eastAsia="Times New Roman" w:hAnsi="Times New Roman"/>
          <w:sz w:val="14"/>
          <w:szCs w:val="14"/>
          <w:color w:val="auto"/>
        </w:rPr>
      </w:pPr>
    </w:p>
    <w:p>
      <w:pPr>
        <w:ind w:left="660" w:right="439" w:firstLine="717"/>
        <w:spacing w:after="0" w:line="247" w:lineRule="auto"/>
        <w:tabs>
          <w:tab w:leader="none" w:pos="1645"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69" w:lineRule="exact"/>
        <w:rPr>
          <w:rFonts w:ascii="Times New Roman" w:cs="Times New Roman" w:eastAsia="Times New Roman" w:hAnsi="Times New Roman"/>
          <w:sz w:val="14"/>
          <w:szCs w:val="14"/>
          <w:color w:val="auto"/>
        </w:rPr>
      </w:pPr>
    </w:p>
    <w:p>
      <w:pPr>
        <w:ind w:left="660" w:right="459" w:firstLine="717"/>
        <w:spacing w:after="0" w:line="284" w:lineRule="auto"/>
        <w:tabs>
          <w:tab w:leader="none" w:pos="1645"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43" w:lineRule="exact"/>
        <w:rPr>
          <w:rFonts w:ascii="Times New Roman" w:cs="Times New Roman" w:eastAsia="Times New Roman" w:hAnsi="Times New Roman"/>
          <w:sz w:val="13"/>
          <w:szCs w:val="13"/>
          <w:color w:val="auto"/>
        </w:rPr>
      </w:pPr>
    </w:p>
    <w:p>
      <w:pPr>
        <w:jc w:val="both"/>
        <w:ind w:left="660" w:right="379" w:firstLine="717"/>
        <w:spacing w:after="0" w:line="255" w:lineRule="auto"/>
        <w:tabs>
          <w:tab w:leader="none" w:pos="1645"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spacing w:after="0" w:line="61" w:lineRule="exact"/>
        <w:rPr>
          <w:rFonts w:ascii="Times New Roman" w:cs="Times New Roman" w:eastAsia="Times New Roman" w:hAnsi="Times New Roman"/>
          <w:sz w:val="14"/>
          <w:szCs w:val="14"/>
          <w:color w:val="auto"/>
        </w:rPr>
      </w:pPr>
    </w:p>
    <w:p>
      <w:pPr>
        <w:ind w:left="660" w:right="479" w:firstLine="717"/>
        <w:spacing w:after="0" w:line="266" w:lineRule="auto"/>
        <w:tabs>
          <w:tab w:leader="none" w:pos="1645"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 will be payable in cash or additional Securities at the Company’s or the Securityholders’ option and the terms and conditions upon which the election may be made;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49" w:name="page50"/>
    <w:bookmarkEnd w:id="49"/>
    <w:p>
      <w:pPr>
        <w:ind w:left="660" w:right="459" w:firstLine="717"/>
        <w:spacing w:after="0" w:line="266" w:lineRule="auto"/>
        <w:tabs>
          <w:tab w:leader="none" w:pos="1645"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53" w:lineRule="exact"/>
        <w:rPr>
          <w:rFonts w:ascii="Times New Roman" w:cs="Times New Roman" w:eastAsia="Times New Roman" w:hAnsi="Times New Roman"/>
          <w:sz w:val="14"/>
          <w:szCs w:val="14"/>
          <w:color w:val="auto"/>
        </w:rPr>
      </w:pPr>
    </w:p>
    <w:p>
      <w:pPr>
        <w:ind w:left="1640" w:hanging="263"/>
        <w:spacing w:after="0"/>
        <w:tabs>
          <w:tab w:leader="none" w:pos="1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or alternative provisions, if any, related to defeasance and discharge of the offered Securities;</w:t>
      </w:r>
    </w:p>
    <w:p>
      <w:pPr>
        <w:spacing w:after="0" w:line="85" w:lineRule="exact"/>
        <w:rPr>
          <w:rFonts w:ascii="Times New Roman" w:cs="Times New Roman" w:eastAsia="Times New Roman" w:hAnsi="Times New Roman"/>
          <w:sz w:val="14"/>
          <w:szCs w:val="14"/>
          <w:color w:val="auto"/>
        </w:rPr>
      </w:pPr>
    </w:p>
    <w:p>
      <w:pPr>
        <w:ind w:left="1640" w:hanging="263"/>
        <w:spacing w:after="0"/>
        <w:tabs>
          <w:tab w:leader="none" w:pos="1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applicability of any guarantees;</w:t>
      </w:r>
    </w:p>
    <w:p>
      <w:pPr>
        <w:spacing w:after="0" w:line="85" w:lineRule="exact"/>
        <w:rPr>
          <w:rFonts w:ascii="Times New Roman" w:cs="Times New Roman" w:eastAsia="Times New Roman" w:hAnsi="Times New Roman"/>
          <w:sz w:val="14"/>
          <w:szCs w:val="14"/>
          <w:color w:val="auto"/>
        </w:rPr>
      </w:pPr>
    </w:p>
    <w:p>
      <w:pPr>
        <w:ind w:left="1640" w:hanging="263"/>
        <w:spacing w:after="0"/>
        <w:tabs>
          <w:tab w:leader="none" w:pos="1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transfer, sale or assignment of the Securities of the series; and</w:t>
      </w:r>
    </w:p>
    <w:p>
      <w:pPr>
        <w:spacing w:after="0" w:line="85" w:lineRule="exact"/>
        <w:rPr>
          <w:rFonts w:ascii="Times New Roman" w:cs="Times New Roman" w:eastAsia="Times New Roman" w:hAnsi="Times New Roman"/>
          <w:sz w:val="14"/>
          <w:szCs w:val="14"/>
          <w:color w:val="auto"/>
        </w:rPr>
      </w:pPr>
    </w:p>
    <w:p>
      <w:pPr>
        <w:ind w:left="1640" w:hanging="263"/>
        <w:spacing w:after="0"/>
        <w:tabs>
          <w:tab w:leader="none" w:pos="1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series.</w:t>
      </w:r>
    </w:p>
    <w:p>
      <w:pPr>
        <w:spacing w:after="0" w:line="167" w:lineRule="exact"/>
        <w:rPr>
          <w:sz w:val="20"/>
          <w:szCs w:val="20"/>
          <w:color w:val="auto"/>
        </w:rPr>
      </w:pPr>
    </w:p>
    <w:p>
      <w:pPr>
        <w:ind w:left="320" w:right="479" w:firstLine="335"/>
        <w:spacing w:after="0" w:line="266" w:lineRule="auto"/>
        <w:rPr>
          <w:sz w:val="20"/>
          <w:szCs w:val="20"/>
          <w:color w:val="auto"/>
        </w:rPr>
      </w:pPr>
      <w:r>
        <w:rPr>
          <w:rFonts w:ascii="Times New Roman" w:cs="Times New Roman" w:eastAsia="Times New Roman" w:hAnsi="Times New Roman"/>
          <w:sz w:val="14"/>
          <w:szCs w:val="14"/>
          <w:color w:val="auto"/>
        </w:rPr>
        <w:t>All Securities of any one series shall be substantially identical except as may otherwise be provided in or pursuant to any such Board Resolution or in any indentures supplemental hereto.</w:t>
      </w:r>
    </w:p>
    <w:p>
      <w:pPr>
        <w:spacing w:after="0" w:line="136" w:lineRule="exact"/>
        <w:rPr>
          <w:sz w:val="20"/>
          <w:szCs w:val="20"/>
          <w:color w:val="auto"/>
        </w:rPr>
      </w:pPr>
    </w:p>
    <w:p>
      <w:pPr>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43" w:lineRule="exact"/>
        <w:rPr>
          <w:sz w:val="20"/>
          <w:szCs w:val="20"/>
          <w:color w:val="auto"/>
        </w:rPr>
      </w:pPr>
    </w:p>
    <w:p>
      <w:pPr>
        <w:jc w:val="both"/>
        <w:ind w:left="320" w:right="579" w:firstLine="335"/>
        <w:spacing w:after="0" w:line="255" w:lineRule="auto"/>
        <w:rPr>
          <w:sz w:val="20"/>
          <w:szCs w:val="20"/>
          <w:color w:val="auto"/>
        </w:rPr>
      </w:pPr>
      <w:r>
        <w:rPr>
          <w:rFonts w:ascii="Times New Roman" w:cs="Times New Roman" w:eastAsia="Times New Roman" w:hAnsi="Times New Roman"/>
          <w:sz w:val="14"/>
          <w:szCs w:val="14"/>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2.02 </w:t>
      </w:r>
      <w:r>
        <w:rPr>
          <w:rFonts w:ascii="Times New Roman" w:cs="Times New Roman" w:eastAsia="Times New Roman" w:hAnsi="Times New Roman"/>
          <w:sz w:val="14"/>
          <w:szCs w:val="14"/>
          <w:u w:val="single" w:color="auto"/>
          <w:color w:val="auto"/>
        </w:rPr>
        <w:t>Form of Securities and Trustee’s Certificate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99" w:firstLine="335"/>
        <w:spacing w:after="0" w:line="249" w:lineRule="auto"/>
        <w:rPr>
          <w:sz w:val="20"/>
          <w:szCs w:val="20"/>
          <w:color w:val="auto"/>
        </w:rPr>
      </w:pPr>
      <w:r>
        <w:rPr>
          <w:rFonts w:ascii="Times New Roman" w:cs="Times New Roman" w:eastAsia="Times New Roman" w:hAnsi="Times New Roman"/>
          <w:sz w:val="14"/>
          <w:szCs w:val="14"/>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2.03 </w:t>
      </w:r>
      <w:r>
        <w:rPr>
          <w:rFonts w:ascii="Times New Roman" w:cs="Times New Roman" w:eastAsia="Times New Roman" w:hAnsi="Times New Roman"/>
          <w:sz w:val="14"/>
          <w:szCs w:val="14"/>
          <w:u w:val="single" w:color="auto"/>
          <w:color w:val="auto"/>
        </w:rPr>
        <w:t>Denominations; Provisions for Payment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59" w:firstLine="335"/>
        <w:spacing w:after="0" w:line="252" w:lineRule="auto"/>
        <w:rPr>
          <w:sz w:val="20"/>
          <w:szCs w:val="20"/>
          <w:color w:val="auto"/>
        </w:rPr>
      </w:pPr>
      <w:r>
        <w:rPr>
          <w:rFonts w:ascii="Times New Roman" w:cs="Times New Roman" w:eastAsia="Times New Roman" w:hAnsi="Times New Roman"/>
          <w:sz w:val="14"/>
          <w:szCs w:val="14"/>
          <w:color w:val="auto"/>
        </w:rPr>
        <w:t xml:space="preserve">The Securities shall be issuable as registered Securities and in the minimum denominations of one thousand U.S. dollars ($1,000) or any integral multiple of $1,000 thereof, subject to Section 2.01(a)(11). The Securities of a particular series shall bear interest payable on the dates and at the rate specified with respect to that series. Subject to </w:t>
      </w:r>
      <w:r>
        <w:rPr>
          <w:rFonts w:ascii="Times New Roman" w:cs="Times New Roman" w:eastAsia="Times New Roman" w:hAnsi="Times New Roman"/>
          <w:sz w:val="14"/>
          <w:szCs w:val="14"/>
          <w:u w:val="single" w:color="auto"/>
          <w:color w:val="auto"/>
        </w:rPr>
        <w:t>Section 2.01(a)(18)</w:t>
      </w:r>
      <w:r>
        <w:rPr>
          <w:rFonts w:ascii="Times New Roman" w:cs="Times New Roman" w:eastAsia="Times New Roman" w:hAnsi="Times New Roman"/>
          <w:sz w:val="14"/>
          <w:szCs w:val="14"/>
          <w:color w:val="auto"/>
        </w:rPr>
        <w:t>, the principal of and the interest on the Securities of any series, as well as any premium thereon in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50" w:name="page51"/>
    <w:bookmarkEnd w:id="50"/>
    <w:p>
      <w:pPr>
        <w:jc w:val="both"/>
        <w:ind w:left="320" w:right="45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43" w:lineRule="exact"/>
        <w:rPr>
          <w:sz w:val="20"/>
          <w:szCs w:val="20"/>
          <w:color w:val="auto"/>
        </w:rPr>
      </w:pPr>
    </w:p>
    <w:p>
      <w:pPr>
        <w:ind w:left="320" w:right="359" w:firstLine="335"/>
        <w:spacing w:after="0" w:line="250" w:lineRule="auto"/>
        <w:rPr>
          <w:sz w:val="20"/>
          <w:szCs w:val="20"/>
          <w:color w:val="auto"/>
        </w:rPr>
      </w:pPr>
      <w:r>
        <w:rPr>
          <w:rFonts w:ascii="Times New Roman" w:cs="Times New Roman" w:eastAsia="Times New Roman" w:hAnsi="Times New Roman"/>
          <w:sz w:val="14"/>
          <w:szCs w:val="14"/>
          <w:color w:val="auto"/>
        </w:rPr>
        <w:t xml:space="preserve">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w:t>
      </w:r>
      <w:r>
        <w:rPr>
          <w:rFonts w:ascii="Times New Roman" w:cs="Times New Roman" w:eastAsia="Times New Roman" w:hAnsi="Times New Roman"/>
          <w:sz w:val="14"/>
          <w:szCs w:val="14"/>
          <w:u w:val="single" w:color="auto"/>
          <w:color w:val="auto"/>
        </w:rPr>
        <w:t>Section 3.03</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320" w:right="379" w:firstLine="335"/>
        <w:spacing w:after="0" w:line="284" w:lineRule="auto"/>
        <w:rPr>
          <w:sz w:val="20"/>
          <w:szCs w:val="20"/>
          <w:color w:val="auto"/>
        </w:rPr>
      </w:pPr>
      <w:r>
        <w:rPr>
          <w:rFonts w:ascii="Times New Roman" w:cs="Times New Roman" w:eastAsia="Times New Roman" w:hAnsi="Times New Roman"/>
          <w:sz w:val="13"/>
          <w:szCs w:val="13"/>
          <w:color w:val="auto"/>
        </w:rPr>
        <w:t>Any interest on any Security that is payable, but is not punctually paid or duly provided for, on any Interest Payment Date for Securities of the same series (herein called “</w:t>
      </w:r>
      <w:r>
        <w:rPr>
          <w:rFonts w:ascii="Times New Roman" w:cs="Times New Roman" w:eastAsia="Times New Roman" w:hAnsi="Times New Roman"/>
          <w:sz w:val="13"/>
          <w:szCs w:val="13"/>
          <w:b w:val="1"/>
          <w:bCs w:val="1"/>
          <w:color w:val="auto"/>
        </w:rPr>
        <w:t>Defaulted Interest</w:t>
      </w:r>
      <w:r>
        <w:rPr>
          <w:rFonts w:ascii="Times New Roman" w:cs="Times New Roman" w:eastAsia="Times New Roman" w:hAnsi="Times New Roman"/>
          <w:sz w:val="13"/>
          <w:szCs w:val="13"/>
          <w:color w:val="auto"/>
        </w:rPr>
        <w: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44" w:lineRule="exact"/>
        <w:rPr>
          <w:sz w:val="20"/>
          <w:szCs w:val="20"/>
          <w:color w:val="auto"/>
        </w:rPr>
      </w:pPr>
    </w:p>
    <w:p>
      <w:pPr>
        <w:ind w:left="660" w:right="339" w:firstLine="717"/>
        <w:spacing w:after="0" w:line="246" w:lineRule="auto"/>
        <w:tabs>
          <w:tab w:leader="none" w:pos="157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elect to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not be more than 15 nor less than 10 days prior to the date of the proposed payment and not less than 10 days after the receipt by the Trustee of the notice of the proposed payment. The Company shall promptly notify the Trustee in writing of such special record date and in such notice, instruct the Trustee to send such notice to holders, in the name and at the expense of the Company, shall cause notice of the proposed payment of such Defaulted Interest and the special record date therefor to be sent electronically or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on such special record date.</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51" w:name="page52"/>
    <w:bookmarkEnd w:id="51"/>
    <w:p>
      <w:pPr>
        <w:jc w:val="both"/>
        <w:ind w:left="660" w:right="359" w:firstLine="717"/>
        <w:spacing w:after="0" w:line="252" w:lineRule="auto"/>
        <w:tabs>
          <w:tab w:leader="none" w:pos="157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Company may make or cause to be made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45" w:lineRule="exact"/>
        <w:rPr>
          <w:sz w:val="20"/>
          <w:szCs w:val="20"/>
          <w:color w:val="auto"/>
        </w:rPr>
      </w:pPr>
    </w:p>
    <w:p>
      <w:pPr>
        <w:ind w:left="320" w:right="379" w:firstLine="335"/>
        <w:spacing w:after="0" w:line="249" w:lineRule="auto"/>
        <w:rPr>
          <w:sz w:val="20"/>
          <w:szCs w:val="20"/>
          <w:color w:val="auto"/>
        </w:rPr>
      </w:pPr>
      <w:r>
        <w:rPr>
          <w:rFonts w:ascii="Times New Roman" w:cs="Times New Roman" w:eastAsia="Times New Roman" w:hAnsi="Times New Roman"/>
          <w:sz w:val="14"/>
          <w:szCs w:val="14"/>
          <w:color w:val="auto"/>
        </w:rPr>
        <w:t xml:space="preserve">Unless otherwise set forth in a Board Resolution or one or more indentures supplemental hereto establishing the terms of any series of Securities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hereof, the term “regular record date” as used in this Section with respect to a series of Securities and any Interest Payment Date for such series shall mean either (i) the fifteenth day of the month immediately preceding the month in which an Interest Payment Date established for such series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hereof shall occur, if such Interest Payment Date is the first day of a month, or (ii) the first day of the month in which an Interest Payment Date established for such series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hereof shall occur, if such Interest Payment Date is the fifteenth day of a month, whether or not such date is a Business Day.</w:t>
      </w:r>
    </w:p>
    <w:p>
      <w:pPr>
        <w:spacing w:after="0" w:line="147" w:lineRule="exact"/>
        <w:rPr>
          <w:sz w:val="20"/>
          <w:szCs w:val="20"/>
          <w:color w:val="auto"/>
        </w:rPr>
      </w:pPr>
    </w:p>
    <w:p>
      <w:pPr>
        <w:jc w:val="both"/>
        <w:ind w:left="320" w:right="459" w:firstLine="335"/>
        <w:spacing w:after="0" w:line="305" w:lineRule="auto"/>
        <w:rPr>
          <w:sz w:val="20"/>
          <w:szCs w:val="20"/>
          <w:color w:val="auto"/>
        </w:rPr>
      </w:pPr>
      <w:r>
        <w:rPr>
          <w:rFonts w:ascii="Times New Roman" w:cs="Times New Roman" w:eastAsia="Times New Roman" w:hAnsi="Times New Roman"/>
          <w:sz w:val="13"/>
          <w:szCs w:val="13"/>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2.04 </w:t>
      </w:r>
      <w:r>
        <w:rPr>
          <w:rFonts w:ascii="Times New Roman" w:cs="Times New Roman" w:eastAsia="Times New Roman" w:hAnsi="Times New Roman"/>
          <w:sz w:val="14"/>
          <w:szCs w:val="14"/>
          <w:u w:val="single" w:color="auto"/>
          <w:color w:val="auto"/>
        </w:rPr>
        <w:t>Execution and Authentications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The Securities shall be signed on behalf of the Company by one of its Officers. Signatures may be in the form of a manual or facsimile signature.</w:t>
      </w:r>
    </w:p>
    <w:p>
      <w:pPr>
        <w:spacing w:after="0" w:line="179" w:lineRule="exact"/>
        <w:rPr>
          <w:sz w:val="20"/>
          <w:szCs w:val="20"/>
          <w:color w:val="auto"/>
        </w:rPr>
      </w:pPr>
    </w:p>
    <w:p>
      <w:pPr>
        <w:ind w:left="320" w:right="499" w:firstLine="335"/>
        <w:spacing w:after="0" w:line="252" w:lineRule="auto"/>
        <w:rPr>
          <w:sz w:val="20"/>
          <w:szCs w:val="20"/>
          <w:color w:val="auto"/>
        </w:rPr>
      </w:pPr>
      <w:r>
        <w:rPr>
          <w:rFonts w:ascii="Times New Roman" w:cs="Times New Roman" w:eastAsia="Times New Roman" w:hAnsi="Times New Roman"/>
          <w:sz w:val="14"/>
          <w:szCs w:val="14"/>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45" w:lineRule="exact"/>
        <w:rPr>
          <w:sz w:val="20"/>
          <w:szCs w:val="20"/>
          <w:color w:val="auto"/>
        </w:rPr>
      </w:pPr>
    </w:p>
    <w:p>
      <w:pPr>
        <w:ind w:left="320" w:right="419" w:firstLine="335"/>
        <w:spacing w:after="0" w:line="274" w:lineRule="auto"/>
        <w:rPr>
          <w:sz w:val="20"/>
          <w:szCs w:val="20"/>
          <w:color w:val="auto"/>
        </w:rPr>
      </w:pPr>
      <w:r>
        <w:rPr>
          <w:rFonts w:ascii="Times New Roman" w:cs="Times New Roman" w:eastAsia="Times New Roman" w:hAnsi="Times New Roman"/>
          <w:sz w:val="13"/>
          <w:szCs w:val="13"/>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Company Order for the authentication and delivery of such Securities, signed by an Officer, and the Trustee in accordance with such Company Order shall authenticate and deliver such Securities.</w:t>
      </w:r>
    </w:p>
    <w:p>
      <w:pPr>
        <w:spacing w:after="0" w:line="131" w:lineRule="exact"/>
        <w:rPr>
          <w:sz w:val="20"/>
          <w:szCs w:val="20"/>
          <w:color w:val="auto"/>
        </w:rPr>
      </w:pPr>
    </w:p>
    <w:p>
      <w:pPr>
        <w:ind w:left="320" w:right="459" w:firstLine="335"/>
        <w:spacing w:after="0" w:line="255" w:lineRule="auto"/>
        <w:rPr>
          <w:sz w:val="20"/>
          <w:szCs w:val="20"/>
          <w:color w:val="auto"/>
        </w:rPr>
      </w:pPr>
      <w:r>
        <w:rPr>
          <w:rFonts w:ascii="Times New Roman" w:cs="Times New Roman" w:eastAsia="Times New Roman" w:hAnsi="Times New Roman"/>
          <w:sz w:val="14"/>
          <w:szCs w:val="14"/>
          <w:color w:val="auto"/>
        </w:rPr>
        <w:t xml:space="preserve">In authenticating such Securities and accepting the additional responsibilities under this Indenture in relation to such Securities, the Trustee shall receive, and (subject to </w:t>
      </w:r>
      <w:r>
        <w:rPr>
          <w:rFonts w:ascii="Times New Roman" w:cs="Times New Roman" w:eastAsia="Times New Roman" w:hAnsi="Times New Roman"/>
          <w:sz w:val="14"/>
          <w:szCs w:val="14"/>
          <w:u w:val="single" w:color="auto"/>
          <w:color w:val="auto"/>
        </w:rPr>
        <w:t>Section 7.01</w:t>
      </w:r>
      <w:r>
        <w:rPr>
          <w:rFonts w:ascii="Times New Roman" w:cs="Times New Roman" w:eastAsia="Times New Roman" w:hAnsi="Times New Roman"/>
          <w:sz w:val="14"/>
          <w:szCs w:val="14"/>
          <w:color w:val="auto"/>
        </w:rPr>
        <w:t>) shall be fully protected in conclusively relying upon, an Officer’s Certificate and an Opinion of Counsel stating that the form and terms thereof have been established in conformity with the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52" w:name="page53"/>
    <w:bookmarkEnd w:id="52"/>
    <w:p>
      <w:pPr>
        <w:ind w:left="320" w:right="43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provisions of this Indenture, that all conditions precedent in connection with the issuance, authentication and delivery of such Securities have been met and that such Securities are legal, valid and binding obligations against the Company, enforceable against it in accordance with its terms, subject to customary exceptions and qualifications.</w:t>
      </w:r>
    </w:p>
    <w:p>
      <w:pPr>
        <w:spacing w:after="0" w:line="143" w:lineRule="exact"/>
        <w:rPr>
          <w:sz w:val="20"/>
          <w:szCs w:val="20"/>
          <w:color w:val="auto"/>
        </w:rPr>
      </w:pPr>
    </w:p>
    <w:p>
      <w:pPr>
        <w:ind w:left="320" w:right="479" w:firstLine="335"/>
        <w:spacing w:after="0" w:line="305" w:lineRule="auto"/>
        <w:rPr>
          <w:sz w:val="20"/>
          <w:szCs w:val="20"/>
          <w:color w:val="auto"/>
        </w:rPr>
      </w:pPr>
      <w:r>
        <w:rPr>
          <w:rFonts w:ascii="Times New Roman" w:cs="Times New Roman" w:eastAsia="Times New Roman" w:hAnsi="Times New Roman"/>
          <w:sz w:val="13"/>
          <w:szCs w:val="13"/>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2.05 </w:t>
      </w:r>
      <w:r>
        <w:rPr>
          <w:rFonts w:ascii="Times New Roman" w:cs="Times New Roman" w:eastAsia="Times New Roman" w:hAnsi="Times New Roman"/>
          <w:sz w:val="14"/>
          <w:szCs w:val="14"/>
          <w:u w:val="single" w:color="auto"/>
          <w:color w:val="auto"/>
        </w:rPr>
        <w:t>Registration of Transfer and Exchange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19" w:firstLine="752"/>
        <w:spacing w:after="0" w:line="274" w:lineRule="auto"/>
        <w:tabs>
          <w:tab w:leader="none" w:pos="1259"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31" w:lineRule="exact"/>
        <w:rPr>
          <w:rFonts w:ascii="Times New Roman" w:cs="Times New Roman" w:eastAsia="Times New Roman" w:hAnsi="Times New Roman"/>
          <w:sz w:val="13"/>
          <w:szCs w:val="13"/>
          <w:color w:val="auto"/>
        </w:rPr>
      </w:pPr>
    </w:p>
    <w:p>
      <w:pPr>
        <w:ind w:left="320" w:right="419" w:firstLine="752"/>
        <w:spacing w:after="0" w:line="250" w:lineRule="auto"/>
        <w:tabs>
          <w:tab w:leader="none" w:pos="126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w:t>
      </w:r>
      <w:r>
        <w:rPr>
          <w:rFonts w:ascii="Times New Roman" w:cs="Times New Roman" w:eastAsia="Times New Roman" w:hAnsi="Times New Roman"/>
          <w:sz w:val="14"/>
          <w:szCs w:val="14"/>
          <w:b w:val="1"/>
          <w:bCs w:val="1"/>
          <w:color w:val="auto"/>
        </w:rPr>
        <w:t>Security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Registrar</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320" w:right="479" w:firstLine="335"/>
        <w:spacing w:after="0" w:line="255" w:lineRule="auto"/>
        <w:rPr>
          <w:sz w:val="20"/>
          <w:szCs w:val="20"/>
          <w:color w:val="auto"/>
        </w:rPr>
      </w:pPr>
      <w:r>
        <w:rPr>
          <w:rFonts w:ascii="Times New Roman" w:cs="Times New Roman" w:eastAsia="Times New Roman" w:hAnsi="Times New Roman"/>
          <w:sz w:val="14"/>
          <w:szCs w:val="14"/>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43" w:lineRule="exact"/>
        <w:rPr>
          <w:sz w:val="20"/>
          <w:szCs w:val="20"/>
          <w:color w:val="auto"/>
        </w:rPr>
      </w:pPr>
    </w:p>
    <w:p>
      <w:pPr>
        <w:jc w:val="both"/>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t>All Securities presented or surrendered for exchange or registration of transfer, as provided in this Section, shall be accompanied (if so required by the Company or the Security Registrar ) by a written instrument or instruments of transfer, in form satisfactory to the Company or the Security Registrar, duly executed by the registered holder or by such holder’s duly authorized attorney in writing.</w:t>
      </w:r>
    </w:p>
    <w:p>
      <w:pPr>
        <w:spacing w:after="0" w:line="143" w:lineRule="exact"/>
        <w:rPr>
          <w:sz w:val="20"/>
          <w:szCs w:val="20"/>
          <w:color w:val="auto"/>
        </w:rPr>
      </w:pPr>
    </w:p>
    <w:p>
      <w:pPr>
        <w:ind w:left="320" w:right="339" w:firstLine="752"/>
        <w:spacing w:after="0" w:line="277" w:lineRule="auto"/>
        <w:tabs>
          <w:tab w:leader="none" w:pos="1259"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provided pursuant to </w:t>
      </w:r>
      <w:r>
        <w:rPr>
          <w:rFonts w:ascii="Times New Roman" w:cs="Times New Roman" w:eastAsia="Times New Roman" w:hAnsi="Times New Roman"/>
          <w:sz w:val="13"/>
          <w:szCs w:val="13"/>
          <w:u w:val="single" w:color="auto"/>
          <w:color w:val="auto"/>
        </w:rPr>
        <w:t>Section 2.01</w:t>
      </w:r>
      <w:r>
        <w:rPr>
          <w:rFonts w:ascii="Times New Roman" w:cs="Times New Roman" w:eastAsia="Times New Roman" w:hAnsi="Times New Roman"/>
          <w:sz w:val="13"/>
          <w:szCs w:val="13"/>
          <w:color w:val="auto"/>
        </w:rPr>
        <w:t xml:space="preserve">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w:t>
      </w:r>
      <w:r>
        <w:rPr>
          <w:rFonts w:ascii="Times New Roman" w:cs="Times New Roman" w:eastAsia="Times New Roman" w:hAnsi="Times New Roman"/>
          <w:sz w:val="13"/>
          <w:szCs w:val="13"/>
          <w:u w:val="single" w:color="auto"/>
          <w:color w:val="auto"/>
        </w:rPr>
        <w:t>Section 2.06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3.03(b)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9.04</w:t>
      </w:r>
      <w:r>
        <w:rPr>
          <w:rFonts w:ascii="Times New Roman" w:cs="Times New Roman" w:eastAsia="Times New Roman" w:hAnsi="Times New Roman"/>
          <w:sz w:val="13"/>
          <w:szCs w:val="13"/>
          <w:color w:val="auto"/>
        </w:rPr>
        <w:t xml:space="preserve"> not involving any transfer.</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53" w:name="page54"/>
    <w:bookmarkEnd w:id="53"/>
    <w:p>
      <w:pPr>
        <w:ind w:left="320" w:right="419" w:firstLine="752"/>
        <w:spacing w:after="0" w:line="250" w:lineRule="auto"/>
        <w:tabs>
          <w:tab w:leader="none" w:pos="1267"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w:t>
      </w:r>
      <w:r>
        <w:rPr>
          <w:rFonts w:ascii="Times New Roman" w:cs="Times New Roman" w:eastAsia="Times New Roman" w:hAnsi="Times New Roman"/>
          <w:sz w:val="14"/>
          <w:szCs w:val="14"/>
          <w:u w:val="single" w:color="auto"/>
          <w:color w:val="auto"/>
        </w:rPr>
        <w:t>Section 2.05</w:t>
      </w:r>
      <w:r>
        <w:rPr>
          <w:rFonts w:ascii="Times New Roman" w:cs="Times New Roman" w:eastAsia="Times New Roman" w:hAnsi="Times New Roman"/>
          <w:sz w:val="14"/>
          <w:szCs w:val="14"/>
          <w:color w:val="auto"/>
        </w:rPr>
        <w:t xml:space="preserve"> are, with respect to any Global Security, subject to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hereof.</w:t>
      </w:r>
    </w:p>
    <w:p>
      <w:pPr>
        <w:spacing w:after="0" w:line="146" w:lineRule="exact"/>
        <w:rPr>
          <w:sz w:val="20"/>
          <w:szCs w:val="20"/>
          <w:color w:val="auto"/>
        </w:rPr>
      </w:pPr>
    </w:p>
    <w:p>
      <w:pPr>
        <w:ind w:left="320" w:right="359" w:firstLine="335"/>
        <w:spacing w:after="0" w:line="250" w:lineRule="auto"/>
        <w:rPr>
          <w:sz w:val="20"/>
          <w:szCs w:val="20"/>
          <w:color w:val="auto"/>
        </w:rPr>
      </w:pPr>
      <w:r>
        <w:rPr>
          <w:rFonts w:ascii="Times New Roman" w:cs="Times New Roman" w:eastAsia="Times New Roman" w:hAnsi="Times New Roman"/>
          <w:sz w:val="14"/>
          <w:szCs w:val="14"/>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Neither the Trustee nor any Agent shall have any responsibility or liability for any actions taken or not taken by the Depositary.</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2.06 </w:t>
      </w:r>
      <w:r>
        <w:rPr>
          <w:rFonts w:ascii="Times New Roman" w:cs="Times New Roman" w:eastAsia="Times New Roman" w:hAnsi="Times New Roman"/>
          <w:sz w:val="14"/>
          <w:szCs w:val="14"/>
          <w:u w:val="single" w:color="auto"/>
          <w:color w:val="auto"/>
        </w:rPr>
        <w:t>Temporary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335"/>
        <w:spacing w:after="0" w:line="267" w:lineRule="auto"/>
        <w:rPr>
          <w:sz w:val="20"/>
          <w:szCs w:val="20"/>
          <w:color w:val="auto"/>
        </w:rPr>
      </w:pPr>
      <w:r>
        <w:rPr>
          <w:rFonts w:ascii="Times New Roman" w:cs="Times New Roman" w:eastAsia="Times New Roman" w:hAnsi="Times New Roman"/>
          <w:sz w:val="13"/>
          <w:szCs w:val="13"/>
          <w:color w:val="auto"/>
        </w:rPr>
        <w:t>Pending the preparation of definitive Securities of any series, the Company may execute, and the Trustee shall, upon receipt of a Company Order,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upon receipt of a Company Order,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2.07 </w:t>
      </w:r>
      <w:r>
        <w:rPr>
          <w:rFonts w:ascii="Times New Roman" w:cs="Times New Roman" w:eastAsia="Times New Roman" w:hAnsi="Times New Roman"/>
          <w:sz w:val="14"/>
          <w:szCs w:val="14"/>
          <w:u w:val="single" w:color="auto"/>
          <w:color w:val="auto"/>
        </w:rPr>
        <w:t>Mutilated, Destroyed, Lost or Stolen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79" w:firstLine="335"/>
        <w:spacing w:after="0" w:line="255" w:lineRule="auto"/>
        <w:rPr>
          <w:sz w:val="20"/>
          <w:szCs w:val="20"/>
          <w:color w:val="auto"/>
        </w:rPr>
      </w:pPr>
      <w:r>
        <w:rPr>
          <w:rFonts w:ascii="Times New Roman" w:cs="Times New Roman" w:eastAsia="Times New Roman" w:hAnsi="Times New Roman"/>
          <w:sz w:val="14"/>
          <w:szCs w:val="14"/>
          <w:color w:val="auto"/>
        </w:rPr>
        <w:t>In case any temporary or definitive Security shall become mutilated or be destroyed, lost or stolen, the Company (subject to the next succeeding sentence) shall execute, and upon receipt of a Company Order the Trustee (subject as aforesaid) shall authenticate and deliver, a new Security of the same series, bearing a number not contemporaneously outstanding, in exchange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54" w:name="page55"/>
    <w:bookmarkEnd w:id="54"/>
    <w:p>
      <w:pPr>
        <w:ind w:left="320" w:right="339"/>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receipt of a Company Order.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49"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In case any Security that has or is about to become due and payable, whether upon maturity of the Securities of a series or upon declaration or otherwise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46" w:lineRule="exact"/>
        <w:rPr>
          <w:sz w:val="20"/>
          <w:szCs w:val="20"/>
          <w:color w:val="auto"/>
        </w:rPr>
      </w:pPr>
    </w:p>
    <w:p>
      <w:pPr>
        <w:ind w:left="320" w:right="439" w:firstLine="335"/>
        <w:spacing w:after="0" w:line="248" w:lineRule="auto"/>
        <w:rPr>
          <w:sz w:val="20"/>
          <w:szCs w:val="20"/>
          <w:color w:val="auto"/>
        </w:rPr>
      </w:pPr>
      <w:r>
        <w:rPr>
          <w:rFonts w:ascii="Times New Roman" w:cs="Times New Roman" w:eastAsia="Times New Roman" w:hAnsi="Times New Roman"/>
          <w:sz w:val="14"/>
          <w:szCs w:val="14"/>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2.08 </w:t>
      </w:r>
      <w:r>
        <w:rPr>
          <w:rFonts w:ascii="Times New Roman" w:cs="Times New Roman" w:eastAsia="Times New Roman" w:hAnsi="Times New Roman"/>
          <w:sz w:val="14"/>
          <w:szCs w:val="14"/>
          <w:u w:val="single" w:color="auto"/>
          <w:color w:val="auto"/>
        </w:rPr>
        <w:t>Cancellation</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written request of the Company at the time of such surrender, the Trustee shall deliver to the Company evidence of cancellation for such canceled Securities held by the Trustee. The Trustee shall cancel and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0" w:right="1440"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2.09 </w:t>
      </w:r>
      <w:r>
        <w:rPr>
          <w:rFonts w:ascii="Times New Roman" w:cs="Times New Roman" w:eastAsia="Times New Roman" w:hAnsi="Times New Roman"/>
          <w:sz w:val="14"/>
          <w:szCs w:val="14"/>
          <w:u w:val="single" w:color="auto"/>
          <w:color w:val="auto"/>
        </w:rPr>
        <w:t>Benefits of Indenture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2.10 </w:t>
      </w:r>
      <w:r>
        <w:rPr>
          <w:rFonts w:ascii="Times New Roman" w:cs="Times New Roman" w:eastAsia="Times New Roman" w:hAnsi="Times New Roman"/>
          <w:sz w:val="14"/>
          <w:szCs w:val="14"/>
          <w:u w:val="single" w:color="auto"/>
          <w:color w:val="auto"/>
        </w:rPr>
        <w:t>Authenticating Agent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50" w:lineRule="exact"/>
        <w:rPr>
          <w:sz w:val="20"/>
          <w:szCs w:val="20"/>
          <w:color w:val="auto"/>
        </w:rPr>
      </w:pPr>
    </w:p>
    <w:p>
      <w:pPr>
        <w:ind w:left="320" w:right="459" w:firstLine="335"/>
        <w:spacing w:after="0" w:line="249" w:lineRule="auto"/>
        <w:rPr>
          <w:sz w:val="20"/>
          <w:szCs w:val="20"/>
          <w:color w:val="auto"/>
        </w:rPr>
      </w:pPr>
      <w:r>
        <w:rPr>
          <w:rFonts w:ascii="Times New Roman" w:cs="Times New Roman" w:eastAsia="Times New Roman" w:hAnsi="Times New Roman"/>
          <w:sz w:val="14"/>
          <w:szCs w:val="14"/>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2.11 </w:t>
      </w:r>
      <w:r>
        <w:rPr>
          <w:rFonts w:ascii="Times New Roman" w:cs="Times New Roman" w:eastAsia="Times New Roman" w:hAnsi="Times New Roman"/>
          <w:sz w:val="14"/>
          <w:szCs w:val="14"/>
          <w:u w:val="single" w:color="auto"/>
          <w:color w:val="auto"/>
        </w:rPr>
        <w:t>Global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752"/>
        <w:spacing w:after="0" w:line="248" w:lineRule="auto"/>
        <w:tabs>
          <w:tab w:leader="none" w:pos="1259"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Company shall establish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that the Securities of a particular series are to be issued as a Global Security, then the Company shall execute and the Trustee shall, in accordance with </w:t>
      </w:r>
      <w:r>
        <w:rPr>
          <w:rFonts w:ascii="Times New Roman" w:cs="Times New Roman" w:eastAsia="Times New Roman" w:hAnsi="Times New Roman"/>
          <w:sz w:val="14"/>
          <w:szCs w:val="14"/>
          <w:u w:val="single" w:color="auto"/>
          <w:color w:val="auto"/>
        </w:rPr>
        <w:t>Section 2.04</w:t>
      </w:r>
      <w:r>
        <w:rPr>
          <w:rFonts w:ascii="Times New Roman" w:cs="Times New Roman" w:eastAsia="Times New Roman" w:hAnsi="Times New Roman"/>
          <w:sz w:val="14"/>
          <w:szCs w:val="14"/>
          <w:color w:val="auto"/>
        </w:rPr>
        <w:t xml:space="preserve">,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held by it, pursuant to the Depositary’s instruction and (iv) shall bear a legend substantially to the following effect: “Except as otherwise provided in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of the Indenture, this Security may be transferred, in whole but not in part, only to another nominee of the Depositary or to a successor Depositary or to a nominee of such successor Depositary.”</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56" w:name="page57"/>
    <w:bookmarkEnd w:id="56"/>
    <w:p>
      <w:pPr>
        <w:ind w:left="320" w:right="479" w:firstLine="752"/>
        <w:spacing w:after="0" w:line="255" w:lineRule="auto"/>
        <w:tabs>
          <w:tab w:leader="none" w:pos="1267"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Notwithstanding the provisions of </w:t>
      </w:r>
      <w:r>
        <w:rPr>
          <w:rFonts w:ascii="Times New Roman" w:cs="Times New Roman" w:eastAsia="Times New Roman" w:hAnsi="Times New Roman"/>
          <w:sz w:val="14"/>
          <w:szCs w:val="14"/>
          <w:u w:val="single" w:color="auto"/>
          <w:color w:val="auto"/>
        </w:rPr>
        <w:t>Section 2.05</w:t>
      </w:r>
      <w:r>
        <w:rPr>
          <w:rFonts w:ascii="Times New Roman" w:cs="Times New Roman" w:eastAsia="Times New Roman" w:hAnsi="Times New Roman"/>
          <w:sz w:val="14"/>
          <w:szCs w:val="14"/>
          <w:color w:val="auto"/>
        </w:rPr>
        <w:t xml:space="preserve">, the Global Security of a series may be transferred, in whole but not in part and in the manner provided in </w:t>
      </w:r>
      <w:r>
        <w:rPr>
          <w:rFonts w:ascii="Times New Roman" w:cs="Times New Roman" w:eastAsia="Times New Roman" w:hAnsi="Times New Roman"/>
          <w:sz w:val="14"/>
          <w:szCs w:val="14"/>
          <w:u w:val="single" w:color="auto"/>
          <w:color w:val="auto"/>
        </w:rPr>
        <w:t>Section 2.05</w:t>
      </w:r>
      <w:r>
        <w:rPr>
          <w:rFonts w:ascii="Times New Roman" w:cs="Times New Roman" w:eastAsia="Times New Roman" w:hAnsi="Times New Roman"/>
          <w:sz w:val="14"/>
          <w:szCs w:val="14"/>
          <w:color w:val="auto"/>
        </w:rPr>
        <w:t>, only to another nominee of the Depositary for such series, or to a successor Depositary for such series selected or approved by the Company or to a nominee of such successor Depositary.</w:t>
      </w:r>
    </w:p>
    <w:p>
      <w:pPr>
        <w:spacing w:after="0" w:line="143" w:lineRule="exact"/>
        <w:rPr>
          <w:rFonts w:ascii="Times New Roman" w:cs="Times New Roman" w:eastAsia="Times New Roman" w:hAnsi="Times New Roman"/>
          <w:sz w:val="14"/>
          <w:szCs w:val="14"/>
          <w:color w:val="auto"/>
        </w:rPr>
      </w:pPr>
    </w:p>
    <w:p>
      <w:pPr>
        <w:ind w:left="320" w:right="339" w:firstLine="752"/>
        <w:spacing w:after="0" w:line="246" w:lineRule="auto"/>
        <w:tabs>
          <w:tab w:leader="none" w:pos="1259"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shall no longer be applicable to the Securities of such series and the Company will execute, and subject to </w:t>
      </w:r>
      <w:r>
        <w:rPr>
          <w:rFonts w:ascii="Times New Roman" w:cs="Times New Roman" w:eastAsia="Times New Roman" w:hAnsi="Times New Roman"/>
          <w:sz w:val="14"/>
          <w:szCs w:val="14"/>
          <w:u w:val="single" w:color="auto"/>
          <w:color w:val="auto"/>
        </w:rPr>
        <w:t>Section 2.04</w:t>
      </w:r>
      <w:r>
        <w:rPr>
          <w:rFonts w:ascii="Times New Roman" w:cs="Times New Roman" w:eastAsia="Times New Roman" w:hAnsi="Times New Roman"/>
          <w:sz w:val="14"/>
          <w:szCs w:val="14"/>
          <w:color w:val="auto"/>
        </w:rPr>
        <w:t xml:space="preserve">,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shall no longer apply to the Securities of such series. In such event the Company will execute and, subject to </w:t>
      </w:r>
      <w:r>
        <w:rPr>
          <w:rFonts w:ascii="Times New Roman" w:cs="Times New Roman" w:eastAsia="Times New Roman" w:hAnsi="Times New Roman"/>
          <w:sz w:val="14"/>
          <w:szCs w:val="14"/>
          <w:u w:val="single" w:color="auto"/>
          <w:color w:val="auto"/>
        </w:rPr>
        <w:t>Section 2.04</w:t>
      </w:r>
      <w:r>
        <w:rPr>
          <w:rFonts w:ascii="Times New Roman" w:cs="Times New Roman" w:eastAsia="Times New Roman" w:hAnsi="Times New Roman"/>
          <w:sz w:val="14"/>
          <w:szCs w:val="14"/>
          <w:color w:val="auto"/>
        </w:rPr>
        <w:t xml:space="preserve">, the Trustee, upon receipt of an Officer’s Certificate and a Company Order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w:t>
      </w:r>
      <w:r>
        <w:rPr>
          <w:rFonts w:ascii="Times New Roman" w:cs="Times New Roman" w:eastAsia="Times New Roman" w:hAnsi="Times New Roman"/>
          <w:sz w:val="14"/>
          <w:szCs w:val="14"/>
          <w:u w:val="single" w:color="auto"/>
          <w:color w:val="auto"/>
        </w:rPr>
        <w:t>Section 2.11(c)</w:t>
      </w:r>
      <w:r>
        <w:rPr>
          <w:rFonts w:ascii="Times New Roman" w:cs="Times New Roman" w:eastAsia="Times New Roman" w:hAnsi="Times New Roman"/>
          <w:sz w:val="14"/>
          <w:szCs w:val="14"/>
          <w:color w:val="auto"/>
        </w:rPr>
        <w:t xml:space="preserve"> shall be registered in such names and in such authorized denominations as the Depositary, pursuant to instructions from its direct or indirect participants or otherwise, shall instruct the Trustee in writing. The Trustee shall deliver such Securities to the Depositary for delivery to the Persons in whose names such Securities are so registered.</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3</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REDEMPTION OF SECURITIES AND SINKING FUND PROVISIONS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3.01 </w:t>
      </w:r>
      <w:r>
        <w:rPr>
          <w:rFonts w:ascii="Times New Roman" w:cs="Times New Roman" w:eastAsia="Times New Roman" w:hAnsi="Times New Roman"/>
          <w:sz w:val="14"/>
          <w:szCs w:val="14"/>
          <w:u w:val="single" w:color="auto"/>
          <w:color w:val="auto"/>
        </w:rPr>
        <w:t>Redemption</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539" w:firstLine="335"/>
        <w:spacing w:after="0" w:line="266" w:lineRule="auto"/>
        <w:rPr>
          <w:sz w:val="20"/>
          <w:szCs w:val="20"/>
          <w:color w:val="auto"/>
        </w:rPr>
      </w:pPr>
      <w:r>
        <w:rPr>
          <w:rFonts w:ascii="Times New Roman" w:cs="Times New Roman" w:eastAsia="Times New Roman" w:hAnsi="Times New Roman"/>
          <w:sz w:val="14"/>
          <w:szCs w:val="14"/>
          <w:color w:val="auto"/>
        </w:rPr>
        <w:t xml:space="preserve">The Company may redeem the Securities of any series issued hereunder on and after the dates and in accordance with the terms established for such series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hereof.</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3.02 </w:t>
      </w:r>
      <w:r>
        <w:rPr>
          <w:rFonts w:ascii="Times New Roman" w:cs="Times New Roman" w:eastAsia="Times New Roman" w:hAnsi="Times New Roman"/>
          <w:sz w:val="14"/>
          <w:szCs w:val="14"/>
          <w:u w:val="single" w:color="auto"/>
          <w:color w:val="auto"/>
        </w:rPr>
        <w:t>Notice of Redemption</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left="320" w:right="399" w:firstLine="752"/>
        <w:spacing w:after="0" w:line="255" w:lineRule="auto"/>
        <w:tabs>
          <w:tab w:leader="none" w:pos="1259"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case the Company shall desire to exercise such right to redeem all or, as the case may be, a portion of the Securities of any series in accordance with any right the Company reserved for itself to do so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hereof, the Company shall, or shall cause the Trustee (upon 5 Business Days written notice, unless a shorter period shall be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0" w:right="1440" w:bottom="1440" w:gutter="0" w:footer="0" w:header="0"/>
        </w:sectPr>
      </w:pPr>
    </w:p>
    <w:bookmarkStart w:id="57" w:name="page58"/>
    <w:bookmarkEnd w:id="57"/>
    <w:p>
      <w:pPr>
        <w:ind w:left="320" w:right="339"/>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satisfactory to the Trustee) to, give notice of such redemption to holders of the Securities of such series to be redeemed by mailing, electronically or by first class postage prepaid mail, a notice of such redemption not less than 15 days and not more than 90 days, except that redemption notices may be sent more than 90 days prior to the redemption date if the notice is issued in connection with a defeasance of the Securities or a satisfaction and discharge, before the date fixed for redemption of that series to such holders ( with a copy to the Trustee)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49" w:lineRule="exact"/>
        <w:rPr>
          <w:sz w:val="20"/>
          <w:szCs w:val="20"/>
          <w:color w:val="auto"/>
        </w:rPr>
      </w:pPr>
    </w:p>
    <w:p>
      <w:pPr>
        <w:ind w:left="320" w:right="339" w:firstLine="335"/>
        <w:spacing w:after="0" w:line="249" w:lineRule="auto"/>
        <w:rPr>
          <w:sz w:val="20"/>
          <w:szCs w:val="20"/>
          <w:color w:val="auto"/>
        </w:rPr>
      </w:pPr>
      <w:r>
        <w:rPr>
          <w:rFonts w:ascii="Times New Roman" w:cs="Times New Roman" w:eastAsia="Times New Roman" w:hAnsi="Times New Roman"/>
          <w:sz w:val="14"/>
          <w:szCs w:val="14"/>
          <w:color w:val="auto"/>
        </w:rPr>
        <w:t>Each such notice of redemption shall specify the date fixed for redemption, if applicable, any record date with respect to such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47" w:lineRule="exact"/>
        <w:rPr>
          <w:sz w:val="20"/>
          <w:szCs w:val="20"/>
          <w:color w:val="auto"/>
        </w:rPr>
      </w:pPr>
    </w:p>
    <w:p>
      <w:pPr>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43" w:lineRule="exact"/>
        <w:rPr>
          <w:sz w:val="20"/>
          <w:szCs w:val="20"/>
          <w:color w:val="auto"/>
        </w:rPr>
      </w:pPr>
    </w:p>
    <w:p>
      <w:pPr>
        <w:ind w:left="320" w:right="339" w:firstLine="752"/>
        <w:spacing w:after="0" w:line="246" w:lineRule="auto"/>
        <w:tabs>
          <w:tab w:leader="none" w:pos="1267"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less than all the Securities of a series are to be redeemed, the Company shall give the Trustee at least 20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subject to the applicable procedures of the Depositary)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send notice of redemption in the manner set forth in this Section, such notice to be in the name and at the expense of the Company. In any case in which notice of redemption is to be sent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0" w:right="1440"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3.03 </w:t>
      </w:r>
      <w:r>
        <w:rPr>
          <w:rFonts w:ascii="Times New Roman" w:cs="Times New Roman" w:eastAsia="Times New Roman" w:hAnsi="Times New Roman"/>
          <w:sz w:val="14"/>
          <w:szCs w:val="14"/>
          <w:u w:val="single" w:color="auto"/>
          <w:color w:val="auto"/>
        </w:rPr>
        <w:t>Payment Upon Redemption</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752"/>
        <w:spacing w:after="0" w:line="247" w:lineRule="auto"/>
        <w:tabs>
          <w:tab w:leader="none" w:pos="1259"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w:t>
      </w:r>
      <w:r>
        <w:rPr>
          <w:rFonts w:ascii="Times New Roman" w:cs="Times New Roman" w:eastAsia="Times New Roman" w:hAnsi="Times New Roman"/>
          <w:sz w:val="14"/>
          <w:szCs w:val="14"/>
          <w:u w:val="single" w:color="auto"/>
          <w:color w:val="auto"/>
        </w:rPr>
        <w:t>Section 2.03</w:t>
      </w:r>
      <w:r>
        <w:rPr>
          <w:rFonts w:ascii="Times New Roman" w:cs="Times New Roman" w:eastAsia="Times New Roman" w:hAnsi="Times New Roman"/>
          <w:sz w:val="14"/>
          <w:szCs w:val="14"/>
          <w:color w:val="auto"/>
        </w:rPr>
        <w:t>).</w:t>
      </w:r>
    </w:p>
    <w:p>
      <w:pPr>
        <w:spacing w:after="0" w:line="151" w:lineRule="exact"/>
        <w:rPr>
          <w:rFonts w:ascii="Times New Roman" w:cs="Times New Roman" w:eastAsia="Times New Roman" w:hAnsi="Times New Roman"/>
          <w:sz w:val="14"/>
          <w:szCs w:val="14"/>
          <w:color w:val="auto"/>
        </w:rPr>
      </w:pPr>
    </w:p>
    <w:p>
      <w:pPr>
        <w:ind w:left="320" w:right="479" w:firstLine="752"/>
        <w:spacing w:after="0" w:line="284" w:lineRule="auto"/>
        <w:tabs>
          <w:tab w:leader="none" w:pos="1267"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presentation of any physical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3.04 </w:t>
      </w:r>
      <w:r>
        <w:rPr>
          <w:rFonts w:ascii="Times New Roman" w:cs="Times New Roman" w:eastAsia="Times New Roman" w:hAnsi="Times New Roman"/>
          <w:sz w:val="14"/>
          <w:szCs w:val="14"/>
          <w:u w:val="single" w:color="auto"/>
          <w:color w:val="auto"/>
        </w:rPr>
        <w:t>Sinking Fund</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799" w:firstLine="335"/>
        <w:spacing w:after="0" w:line="266" w:lineRule="auto"/>
        <w:rPr>
          <w:sz w:val="20"/>
          <w:szCs w:val="20"/>
          <w:color w:val="auto"/>
        </w:rPr>
      </w:pPr>
      <w:r>
        <w:rPr>
          <w:rFonts w:ascii="Times New Roman" w:cs="Times New Roman" w:eastAsia="Times New Roman" w:hAnsi="Times New Roman"/>
          <w:sz w:val="14"/>
          <w:szCs w:val="14"/>
          <w:color w:val="auto"/>
        </w:rPr>
        <w:t xml:space="preserve">The provisions of </w:t>
      </w:r>
      <w:r>
        <w:rPr>
          <w:rFonts w:ascii="Times New Roman" w:cs="Times New Roman" w:eastAsia="Times New Roman" w:hAnsi="Times New Roman"/>
          <w:sz w:val="14"/>
          <w:szCs w:val="14"/>
          <w:u w:val="single" w:color="auto"/>
          <w:color w:val="auto"/>
        </w:rPr>
        <w:t>Sections 3.04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3.05</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3.06</w:t>
      </w:r>
      <w:r>
        <w:rPr>
          <w:rFonts w:ascii="Times New Roman" w:cs="Times New Roman" w:eastAsia="Times New Roman" w:hAnsi="Times New Roman"/>
          <w:sz w:val="14"/>
          <w:szCs w:val="14"/>
          <w:color w:val="auto"/>
        </w:rPr>
        <w:t xml:space="preserve"> shall be applicable to any sinking fund for the retirement of Securities of a series, except as otherwise specified as contemplated by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for Securities of such series.</w:t>
      </w:r>
    </w:p>
    <w:p>
      <w:pPr>
        <w:spacing w:after="0" w:line="136"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w:t>
      </w:r>
      <w:r>
        <w:rPr>
          <w:rFonts w:ascii="Times New Roman" w:cs="Times New Roman" w:eastAsia="Times New Roman" w:hAnsi="Times New Roman"/>
          <w:sz w:val="14"/>
          <w:szCs w:val="14"/>
          <w:u w:val="single" w:color="auto"/>
          <w:color w:val="auto"/>
        </w:rPr>
        <w:t>Section 3.05</w:t>
      </w:r>
      <w:r>
        <w:rPr>
          <w:rFonts w:ascii="Times New Roman" w:cs="Times New Roman" w:eastAsia="Times New Roman" w:hAnsi="Times New Roman"/>
          <w:sz w:val="14"/>
          <w:szCs w:val="14"/>
          <w:color w:val="auto"/>
        </w:rPr>
        <w:t>. Each sinking fund payment shall be applied to the redemption of Securities of any series as provided for by the terms of Securities of such series.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3.05 </w:t>
      </w:r>
      <w:r>
        <w:rPr>
          <w:rFonts w:ascii="Times New Roman" w:cs="Times New Roman" w:eastAsia="Times New Roman" w:hAnsi="Times New Roman"/>
          <w:sz w:val="14"/>
          <w:szCs w:val="14"/>
          <w:u w:val="single" w:color="auto"/>
          <w:color w:val="auto"/>
        </w:rPr>
        <w:t>Satisfaction of Sinking Fund Payments with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0" w:right="1440" w:bottom="1440" w:gutter="0" w:footer="0" w:header="0"/>
        </w:sectPr>
      </w:pPr>
    </w:p>
    <w:bookmarkStart w:id="59" w:name="page60"/>
    <w:bookmarkEnd w:id="59"/>
    <w:p>
      <w:pPr>
        <w:ind w:left="320" w:right="65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made pursuant to the terms of such Securities as provided for by the terms of such series,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3.06 </w:t>
      </w:r>
      <w:r>
        <w:rPr>
          <w:rFonts w:ascii="Times New Roman" w:cs="Times New Roman" w:eastAsia="Times New Roman" w:hAnsi="Times New Roman"/>
          <w:sz w:val="14"/>
          <w:szCs w:val="14"/>
          <w:u w:val="single" w:color="auto"/>
          <w:color w:val="auto"/>
        </w:rPr>
        <w:t>Redemption of Securities for Sinking Fund</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335"/>
        <w:spacing w:after="0" w:line="247" w:lineRule="auto"/>
        <w:rPr>
          <w:sz w:val="20"/>
          <w:szCs w:val="20"/>
          <w:color w:val="auto"/>
        </w:rPr>
      </w:pPr>
      <w:r>
        <w:rPr>
          <w:rFonts w:ascii="Times New Roman" w:cs="Times New Roman" w:eastAsia="Times New Roman" w:hAnsi="Times New Roman"/>
          <w:sz w:val="14"/>
          <w:szCs w:val="14"/>
          <w:color w:val="auto"/>
        </w:rPr>
        <w:t xml:space="preserve">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w:t>
      </w:r>
      <w:r>
        <w:rPr>
          <w:rFonts w:ascii="Times New Roman" w:cs="Times New Roman" w:eastAsia="Times New Roman" w:hAnsi="Times New Roman"/>
          <w:sz w:val="14"/>
          <w:szCs w:val="14"/>
          <w:u w:val="single" w:color="auto"/>
          <w:color w:val="auto"/>
        </w:rPr>
        <w:t>Section 3.05</w:t>
      </w:r>
      <w:r>
        <w:rPr>
          <w:rFonts w:ascii="Times New Roman" w:cs="Times New Roman" w:eastAsia="Times New Roman" w:hAnsi="Times New Roman"/>
          <w:sz w:val="14"/>
          <w:szCs w:val="14"/>
          <w:color w:val="auto"/>
        </w:rPr>
        <w:t xml:space="preserve">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w:t>
      </w:r>
      <w:r>
        <w:rPr>
          <w:rFonts w:ascii="Times New Roman" w:cs="Times New Roman" w:eastAsia="Times New Roman" w:hAnsi="Times New Roman"/>
          <w:sz w:val="14"/>
          <w:szCs w:val="14"/>
          <w:u w:val="single" w:color="auto"/>
          <w:color w:val="auto"/>
        </w:rPr>
        <w:t>Section 3.02</w:t>
      </w:r>
      <w:r>
        <w:rPr>
          <w:rFonts w:ascii="Times New Roman" w:cs="Times New Roman" w:eastAsia="Times New Roman" w:hAnsi="Times New Roman"/>
          <w:sz w:val="14"/>
          <w:szCs w:val="14"/>
          <w:color w:val="auto"/>
        </w:rPr>
        <w:t xml:space="preserve"> and cause notice of the redemption thereof to be given in the name of and at the expense of the Company in the manner provided in </w:t>
      </w:r>
      <w:r>
        <w:rPr>
          <w:rFonts w:ascii="Times New Roman" w:cs="Times New Roman" w:eastAsia="Times New Roman" w:hAnsi="Times New Roman"/>
          <w:sz w:val="14"/>
          <w:szCs w:val="14"/>
          <w:u w:val="single" w:color="auto"/>
          <w:color w:val="auto"/>
        </w:rPr>
        <w:t>Section 3.02</w:t>
      </w:r>
      <w:r>
        <w:rPr>
          <w:rFonts w:ascii="Times New Roman" w:cs="Times New Roman" w:eastAsia="Times New Roman" w:hAnsi="Times New Roman"/>
          <w:sz w:val="14"/>
          <w:szCs w:val="14"/>
          <w:color w:val="auto"/>
        </w:rPr>
        <w:t xml:space="preserve">. Such notice having been duly given, the redemption of such Securities shall be made upon the terms and in the manner stated in </w:t>
      </w:r>
      <w:r>
        <w:rPr>
          <w:rFonts w:ascii="Times New Roman" w:cs="Times New Roman" w:eastAsia="Times New Roman" w:hAnsi="Times New Roman"/>
          <w:sz w:val="14"/>
          <w:szCs w:val="14"/>
          <w:u w:val="single" w:color="auto"/>
          <w:color w:val="auto"/>
        </w:rPr>
        <w:t>Section 3.03</w:t>
      </w:r>
      <w:r>
        <w:rPr>
          <w:rFonts w:ascii="Times New Roman" w:cs="Times New Roman" w:eastAsia="Times New Roman" w:hAnsi="Times New Roman"/>
          <w:sz w:val="14"/>
          <w:szCs w:val="14"/>
          <w:color w:val="auto"/>
        </w:rPr>
        <w:t>.</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4</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4.01 </w:t>
      </w:r>
      <w:r>
        <w:rPr>
          <w:rFonts w:ascii="Times New Roman" w:cs="Times New Roman" w:eastAsia="Times New Roman" w:hAnsi="Times New Roman"/>
          <w:sz w:val="14"/>
          <w:szCs w:val="14"/>
          <w:u w:val="single" w:color="auto"/>
          <w:color w:val="auto"/>
        </w:rPr>
        <w:t>Payment of Principal, Premium and Interest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physical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an account in the United States if such Securityholder shall have furnished wire instructions in writing to the Security Registrar and the Trustee no later than 15 days prior to the relevant payment date.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4.02 </w:t>
      </w:r>
      <w:r>
        <w:rPr>
          <w:rFonts w:ascii="Times New Roman" w:cs="Times New Roman" w:eastAsia="Times New Roman" w:hAnsi="Times New Roman"/>
          <w:sz w:val="14"/>
          <w:szCs w:val="14"/>
          <w:u w:val="single" w:color="auto"/>
          <w:color w:val="auto"/>
        </w:rPr>
        <w:t>Maintenance of Office or Agency</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 xml:space="preserve">So long as any series of the Securities remain Outstanding, the Company agrees to maintain an office or agency with respect to each such series and at such other location or locations as may be designated as provided in this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where (i) Securities of that series may be presented for payment, (ii) Securities of that series may be presented as herein above authorized for registration of transfer and exchange, and (iii) notices in respect of the Securities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6" w:right="1440" w:bottom="1440" w:gutter="0" w:footer="0" w:header="0"/>
        </w:sectPr>
      </w:pPr>
    </w:p>
    <w:bookmarkStart w:id="60" w:name="page61"/>
    <w:bookmarkEnd w:id="60"/>
    <w:p>
      <w:pPr>
        <w:ind w:left="320" w:right="37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of that series and this Indenture may be given or made, such designation to continue with respect to such office or agency until the Company shall, by written notice in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and notices may be made at the Corporate Trust Office of the Trustee, and the Company hereby appoints the Trustee as its agent to receive all such presentations and notices; provided, however, the Trustee shall not be considered an agent of the Company for service of process.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4.03 </w:t>
      </w:r>
      <w:r>
        <w:rPr>
          <w:rFonts w:ascii="Times New Roman" w:cs="Times New Roman" w:eastAsia="Times New Roman" w:hAnsi="Times New Roman"/>
          <w:sz w:val="14"/>
          <w:szCs w:val="14"/>
          <w:u w:val="single" w:color="auto"/>
          <w:color w:val="auto"/>
        </w:rPr>
        <w:t>Paying Agents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752"/>
        <w:spacing w:after="0" w:line="255" w:lineRule="auto"/>
        <w:tabs>
          <w:tab w:leader="none" w:pos="1259"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61" w:lineRule="exact"/>
        <w:rPr>
          <w:rFonts w:ascii="Times New Roman" w:cs="Times New Roman" w:eastAsia="Times New Roman" w:hAnsi="Times New Roman"/>
          <w:sz w:val="14"/>
          <w:szCs w:val="14"/>
          <w:color w:val="auto"/>
        </w:rPr>
      </w:pPr>
    </w:p>
    <w:p>
      <w:pPr>
        <w:ind w:left="660" w:right="359" w:firstLine="717"/>
        <w:spacing w:after="0" w:line="255" w:lineRule="auto"/>
        <w:tabs>
          <w:tab w:leader="none" w:pos="1577"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61" w:lineRule="exact"/>
        <w:rPr>
          <w:rFonts w:ascii="Times New Roman" w:cs="Times New Roman" w:eastAsia="Times New Roman" w:hAnsi="Times New Roman"/>
          <w:sz w:val="14"/>
          <w:szCs w:val="14"/>
          <w:color w:val="auto"/>
        </w:rPr>
      </w:pPr>
    </w:p>
    <w:p>
      <w:pPr>
        <w:ind w:left="660" w:right="799" w:firstLine="717"/>
        <w:spacing w:after="0" w:line="305" w:lineRule="auto"/>
        <w:tabs>
          <w:tab w:leader="none" w:pos="1577"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30" w:lineRule="exact"/>
        <w:rPr>
          <w:rFonts w:ascii="Times New Roman" w:cs="Times New Roman" w:eastAsia="Times New Roman" w:hAnsi="Times New Roman"/>
          <w:sz w:val="13"/>
          <w:szCs w:val="13"/>
          <w:color w:val="auto"/>
        </w:rPr>
      </w:pPr>
    </w:p>
    <w:p>
      <w:pPr>
        <w:ind w:left="660" w:right="379" w:firstLine="717"/>
        <w:spacing w:after="0" w:line="266" w:lineRule="auto"/>
        <w:tabs>
          <w:tab w:leader="none" w:pos="1577"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will, at any time during the continuance of any failure referred to in the preceding paragraph (a)(2) above, upon the written request of the Trustee, forthwith pay to the Trustee all sums so held in trust by such paying agent;</w:t>
      </w:r>
    </w:p>
    <w:p>
      <w:pPr>
        <w:spacing w:after="0" w:line="53" w:lineRule="exact"/>
        <w:rPr>
          <w:rFonts w:ascii="Times New Roman" w:cs="Times New Roman" w:eastAsia="Times New Roman" w:hAnsi="Times New Roman"/>
          <w:sz w:val="14"/>
          <w:szCs w:val="14"/>
          <w:color w:val="auto"/>
        </w:rPr>
      </w:pPr>
    </w:p>
    <w:p>
      <w:pPr>
        <w:ind w:left="660" w:right="739" w:firstLine="717"/>
        <w:spacing w:after="0" w:line="266" w:lineRule="auto"/>
        <w:tabs>
          <w:tab w:leader="none" w:pos="1577"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upon any receivership, insolvency, liquidation, bankruptcy, reorganization, readjustment, arrangement, composition or judicial proceedings affecting the Company, the Trustee will automatically be the Paying Agent; and</w:t>
      </w:r>
    </w:p>
    <w:p>
      <w:pPr>
        <w:spacing w:after="0" w:line="53" w:lineRule="exact"/>
        <w:rPr>
          <w:rFonts w:ascii="Times New Roman" w:cs="Times New Roman" w:eastAsia="Times New Roman" w:hAnsi="Times New Roman"/>
          <w:sz w:val="14"/>
          <w:szCs w:val="14"/>
          <w:color w:val="auto"/>
        </w:rPr>
      </w:pPr>
    </w:p>
    <w:p>
      <w:pPr>
        <w:ind w:left="1580" w:hanging="203"/>
        <w:spacing w:after="0"/>
        <w:tabs>
          <w:tab w:leader="none" w:pos="158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will perform all other duties of paying agent as set forth in this Indenture.</w:t>
      </w:r>
    </w:p>
    <w:p>
      <w:pPr>
        <w:spacing w:after="0" w:line="167" w:lineRule="exact"/>
        <w:rPr>
          <w:rFonts w:ascii="Times New Roman" w:cs="Times New Roman" w:eastAsia="Times New Roman" w:hAnsi="Times New Roman"/>
          <w:sz w:val="14"/>
          <w:szCs w:val="14"/>
          <w:color w:val="auto"/>
        </w:rPr>
      </w:pPr>
    </w:p>
    <w:p>
      <w:pPr>
        <w:ind w:left="320" w:right="359" w:firstLine="752"/>
        <w:spacing w:after="0" w:line="269" w:lineRule="auto"/>
        <w:tabs>
          <w:tab w:leader="none" w:pos="1267"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0" w:right="1440" w:bottom="1440" w:gutter="0" w:footer="0" w:header="0"/>
        </w:sectPr>
      </w:pPr>
    </w:p>
    <w:bookmarkStart w:id="61" w:name="page62"/>
    <w:bookmarkEnd w:id="61"/>
    <w:p>
      <w:pPr>
        <w:ind w:left="320" w:right="339" w:firstLine="752"/>
        <w:spacing w:after="0" w:line="249" w:lineRule="auto"/>
        <w:tabs>
          <w:tab w:leader="none" w:pos="1259"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Notwithstanding anything in this Section to the contrary, (i) the agreement to hold sums in trust as provided in this Section is subject to the provisions of </w:t>
      </w:r>
      <w:r>
        <w:rPr>
          <w:rFonts w:ascii="Times New Roman" w:cs="Times New Roman" w:eastAsia="Times New Roman" w:hAnsi="Times New Roman"/>
          <w:sz w:val="14"/>
          <w:szCs w:val="14"/>
          <w:u w:val="single" w:color="auto"/>
          <w:color w:val="auto"/>
        </w:rPr>
        <w:t>Section 11.05</w:t>
      </w:r>
      <w:r>
        <w:rPr>
          <w:rFonts w:ascii="Times New Roman" w:cs="Times New Roman" w:eastAsia="Times New Roman" w:hAnsi="Times New Roman"/>
          <w:sz w:val="14"/>
          <w:szCs w:val="14"/>
          <w:color w:val="auto"/>
        </w:rPr>
        <w:t>,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46"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initially appoints the Trustee at its Corporate Trust Office as its paying agent with respect to the Securities.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4.04 </w:t>
      </w:r>
      <w:r>
        <w:rPr>
          <w:rFonts w:ascii="Times New Roman" w:cs="Times New Roman" w:eastAsia="Times New Roman" w:hAnsi="Times New Roman"/>
          <w:sz w:val="14"/>
          <w:szCs w:val="14"/>
          <w:u w:val="single" w:color="auto"/>
          <w:color w:val="auto"/>
        </w:rPr>
        <w:t>Appointment to Fill Vacancy in Office of Trustee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699" w:firstLine="335"/>
        <w:spacing w:after="0" w:line="266" w:lineRule="auto"/>
        <w:rPr>
          <w:sz w:val="20"/>
          <w:szCs w:val="20"/>
          <w:color w:val="auto"/>
        </w:rPr>
      </w:pPr>
      <w:r>
        <w:rPr>
          <w:rFonts w:ascii="Times New Roman" w:cs="Times New Roman" w:eastAsia="Times New Roman" w:hAnsi="Times New Roman"/>
          <w:sz w:val="14"/>
          <w:szCs w:val="14"/>
          <w:color w:val="auto"/>
        </w:rPr>
        <w:t xml:space="preserve">The Company, whenever necessary to avoid or fill a vacancy in the office of Trustee, will appoint, in the manner provided in </w:t>
      </w:r>
      <w:r>
        <w:rPr>
          <w:rFonts w:ascii="Times New Roman" w:cs="Times New Roman" w:eastAsia="Times New Roman" w:hAnsi="Times New Roman"/>
          <w:sz w:val="14"/>
          <w:szCs w:val="14"/>
          <w:u w:val="single" w:color="auto"/>
          <w:color w:val="auto"/>
        </w:rPr>
        <w:t>Section 7.10</w:t>
      </w:r>
      <w:r>
        <w:rPr>
          <w:rFonts w:ascii="Times New Roman" w:cs="Times New Roman" w:eastAsia="Times New Roman" w:hAnsi="Times New Roman"/>
          <w:sz w:val="14"/>
          <w:szCs w:val="14"/>
          <w:color w:val="auto"/>
        </w:rPr>
        <w:t>, a Trustee, so that there shall at all times be a Trustee hereunder.</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4.05 </w:t>
      </w:r>
      <w:r>
        <w:rPr>
          <w:rFonts w:ascii="Times New Roman" w:cs="Times New Roman" w:eastAsia="Times New Roman" w:hAnsi="Times New Roman"/>
          <w:sz w:val="14"/>
          <w:szCs w:val="14"/>
          <w:u w:val="single" w:color="auto"/>
          <w:color w:val="auto"/>
        </w:rPr>
        <w:t>Compliance with Consolidation Provisions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39" w:firstLine="335"/>
        <w:spacing w:after="0" w:line="255" w:lineRule="auto"/>
        <w:rPr>
          <w:sz w:val="20"/>
          <w:szCs w:val="20"/>
          <w:color w:val="auto"/>
        </w:rPr>
      </w:pPr>
      <w:r>
        <w:rPr>
          <w:rFonts w:ascii="Times New Roman" w:cs="Times New Roman" w:eastAsia="Times New Roman" w:hAnsi="Times New Roman"/>
          <w:sz w:val="14"/>
          <w:szCs w:val="14"/>
          <w:color w:val="auto"/>
        </w:rPr>
        <w:t xml:space="preserve">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w:t>
      </w:r>
      <w:r>
        <w:rPr>
          <w:rFonts w:ascii="Times New Roman" w:cs="Times New Roman" w:eastAsia="Times New Roman" w:hAnsi="Times New Roman"/>
          <w:sz w:val="14"/>
          <w:szCs w:val="14"/>
          <w:u w:val="single" w:color="auto"/>
          <w:color w:val="auto"/>
        </w:rPr>
        <w:t>Article 10</w:t>
      </w:r>
      <w:r>
        <w:rPr>
          <w:rFonts w:ascii="Times New Roman" w:cs="Times New Roman" w:eastAsia="Times New Roman" w:hAnsi="Times New Roman"/>
          <w:sz w:val="14"/>
          <w:szCs w:val="14"/>
          <w:color w:val="auto"/>
        </w:rPr>
        <w:t xml:space="preserve"> hereof are complied with.</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5</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SECURITYHOLDERS’ LISTS AND REPORTS BY THE COMPANY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AND THE TRUSTEE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5.01 </w:t>
      </w:r>
      <w:r>
        <w:rPr>
          <w:rFonts w:ascii="Times New Roman" w:cs="Times New Roman" w:eastAsia="Times New Roman" w:hAnsi="Times New Roman"/>
          <w:sz w:val="14"/>
          <w:szCs w:val="14"/>
          <w:u w:val="single" w:color="auto"/>
          <w:color w:val="auto"/>
        </w:rPr>
        <w:t>Company to Furnish Trustee Names and Addresses of Securityholders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271" w:lineRule="auto"/>
        <w:rPr>
          <w:sz w:val="20"/>
          <w:szCs w:val="20"/>
          <w:color w:val="auto"/>
        </w:rPr>
      </w:pPr>
      <w:r>
        <w:rPr>
          <w:rFonts w:ascii="Times New Roman" w:cs="Times New Roman" w:eastAsia="Times New Roman" w:hAnsi="Times New Roman"/>
          <w:sz w:val="13"/>
          <w:szCs w:val="13"/>
          <w:color w:val="auto"/>
        </w:rPr>
        <w:t xml:space="preserve">The Company will furnish or cause to be furnished to the Trustee (a) within 5 days after each regular record date (as defined in </w:t>
      </w:r>
      <w:r>
        <w:rPr>
          <w:rFonts w:ascii="Times New Roman" w:cs="Times New Roman" w:eastAsia="Times New Roman" w:hAnsi="Times New Roman"/>
          <w:sz w:val="13"/>
          <w:szCs w:val="13"/>
          <w:u w:val="single" w:color="auto"/>
          <w:color w:val="auto"/>
        </w:rPr>
        <w:t>Section 2.03</w:t>
      </w:r>
      <w:r>
        <w:rPr>
          <w:rFonts w:ascii="Times New Roman" w:cs="Times New Roman" w:eastAsia="Times New Roman" w:hAnsi="Times New Roman"/>
          <w:sz w:val="13"/>
          <w:szCs w:val="13"/>
          <w:color w:val="auto"/>
        </w:rPr>
        <w:t xml:space="preserve">) a list, in such form as the Trustee may reasonably require, of the names and addresses of the holders of each series of Securities as of such regular record date, </w:t>
      </w:r>
      <w:r>
        <w:rPr>
          <w:rFonts w:ascii="Times New Roman" w:cs="Times New Roman" w:eastAsia="Times New Roman" w:hAnsi="Times New Roman"/>
          <w:sz w:val="13"/>
          <w:szCs w:val="13"/>
          <w:i w:val="1"/>
          <w:iCs w:val="1"/>
          <w:color w:val="auto"/>
        </w:rPr>
        <w:t xml:space="preserve">provided </w:t>
      </w:r>
      <w:r>
        <w:rPr>
          <w:rFonts w:ascii="Times New Roman" w:cs="Times New Roman" w:eastAsia="Times New Roman" w:hAnsi="Times New Roman"/>
          <w:sz w:val="13"/>
          <w:szCs w:val="13"/>
          <w:color w:val="auto"/>
        </w:rPr>
        <w:t>that the Company shall not be obligated to furnish or cause to be furnished such list at any time that the list shall not differ in any respect from</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w:t>
      </w:r>
      <w:r>
        <w:rPr>
          <w:rFonts w:ascii="Times New Roman" w:cs="Times New Roman" w:eastAsia="Times New Roman" w:hAnsi="Times New Roman"/>
          <w:sz w:val="13"/>
          <w:szCs w:val="13"/>
          <w:i w:val="1"/>
          <w:iCs w:val="1"/>
          <w:color w:val="auto"/>
        </w:rPr>
        <w:t xml:space="preserve">provided, however, </w:t>
      </w:r>
      <w:r>
        <w:rPr>
          <w:rFonts w:ascii="Times New Roman" w:cs="Times New Roman" w:eastAsia="Times New Roman" w:hAnsi="Times New Roman"/>
          <w:sz w:val="13"/>
          <w:szCs w:val="13"/>
          <w:color w:val="auto"/>
        </w:rPr>
        <w:t>that, in either case, no such list need be furnished for any series for which the Trustee shall be the Security Registrar.</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0" w:right="1440"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5.02 </w:t>
      </w:r>
      <w:r>
        <w:rPr>
          <w:rFonts w:ascii="Times New Roman" w:cs="Times New Roman" w:eastAsia="Times New Roman" w:hAnsi="Times New Roman"/>
          <w:sz w:val="14"/>
          <w:szCs w:val="14"/>
          <w:u w:val="single" w:color="auto"/>
          <w:color w:val="auto"/>
        </w:rPr>
        <w:t>Preservation Of Information; Communications With Securityholders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759" w:firstLine="752"/>
        <w:spacing w:after="0" w:line="255" w:lineRule="auto"/>
        <w:tabs>
          <w:tab w:leader="none" w:pos="1259"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Trustee shall preserve, in as current a form as is reasonably practicable, all information as to the names and addresses of the holders of Securities contained in the most recent list furnished to it as provided in </w:t>
      </w: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 xml:space="preserve"> and as to the names and addresses of holders of Securities received by the Trustee in its capacity as Security Registrar (if acting in such capacity ).</w:t>
      </w:r>
    </w:p>
    <w:p>
      <w:pPr>
        <w:spacing w:after="0" w:line="143"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Trustee may destroy any list furnished to it as provided in </w:t>
      </w: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 xml:space="preserve"> upon receipt of a new list so furnished.</w:t>
      </w:r>
    </w:p>
    <w:p>
      <w:pPr>
        <w:spacing w:after="0" w:line="167" w:lineRule="exact"/>
        <w:rPr>
          <w:rFonts w:ascii="Times New Roman" w:cs="Times New Roman" w:eastAsia="Times New Roman" w:hAnsi="Times New Roman"/>
          <w:sz w:val="14"/>
          <w:szCs w:val="14"/>
          <w:color w:val="auto"/>
        </w:rPr>
      </w:pPr>
    </w:p>
    <w:p>
      <w:pPr>
        <w:jc w:val="both"/>
        <w:ind w:left="320" w:right="379" w:firstLine="752"/>
        <w:spacing w:after="0" w:line="255" w:lineRule="auto"/>
        <w:tabs>
          <w:tab w:leader="none" w:pos="1259"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5.03 </w:t>
      </w:r>
      <w:r>
        <w:rPr>
          <w:rFonts w:ascii="Times New Roman" w:cs="Times New Roman" w:eastAsia="Times New Roman" w:hAnsi="Times New Roman"/>
          <w:sz w:val="14"/>
          <w:szCs w:val="14"/>
          <w:u w:val="single" w:color="auto"/>
          <w:color w:val="auto"/>
        </w:rPr>
        <w:t>Reports by the Company</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752"/>
        <w:spacing w:after="0" w:line="246" w:lineRule="auto"/>
        <w:tabs>
          <w:tab w:leader="none" w:pos="1259"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the Company shall not be required to deliver to the Trustee any materials for which the Company has sought and received confidential treatment by the Commission; and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so long as such filings by the Company are available on the 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 electronic link to such filing, together with an electronic notice of such filing have been sent to the Trustee it being understood that the Trustee shall have no responsibility to determine whether such filings have been made. For the avoidance of doubt, a failure by the Company to file annual reports, information and other reports with the Commission within the time period prescribed thereof by the Commission shall not be deemed a breach of this </w:t>
      </w:r>
      <w:r>
        <w:rPr>
          <w:rFonts w:ascii="Times New Roman" w:cs="Times New Roman" w:eastAsia="Times New Roman" w:hAnsi="Times New Roman"/>
          <w:sz w:val="14"/>
          <w:szCs w:val="14"/>
          <w:u w:val="single" w:color="auto"/>
          <w:color w:val="auto"/>
        </w:rPr>
        <w:t>Section 5.03</w:t>
      </w:r>
      <w:r>
        <w:rPr>
          <w:rFonts w:ascii="Times New Roman" w:cs="Times New Roman" w:eastAsia="Times New Roman" w:hAnsi="Times New Roman"/>
          <w:sz w:val="14"/>
          <w:szCs w:val="14"/>
          <w:color w:val="auto"/>
        </w:rPr>
        <w:t>.</w:t>
      </w:r>
    </w:p>
    <w:p>
      <w:pPr>
        <w:spacing w:after="0" w:line="154" w:lineRule="exact"/>
        <w:rPr>
          <w:rFonts w:ascii="Times New Roman" w:cs="Times New Roman" w:eastAsia="Times New Roman" w:hAnsi="Times New Roman"/>
          <w:sz w:val="14"/>
          <w:szCs w:val="14"/>
          <w:color w:val="auto"/>
        </w:rPr>
      </w:pPr>
    </w:p>
    <w:p>
      <w:pPr>
        <w:ind w:left="320" w:right="359" w:firstLine="752"/>
        <w:spacing w:after="0" w:line="252" w:lineRule="auto"/>
        <w:tabs>
          <w:tab w:leader="none" w:pos="1267"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Delivery of reports, information and documents to the Trustee under </w:t>
      </w:r>
      <w:r>
        <w:rPr>
          <w:rFonts w:ascii="Times New Roman" w:cs="Times New Roman" w:eastAsia="Times New Roman" w:hAnsi="Times New Roman"/>
          <w:sz w:val="14"/>
          <w:szCs w:val="14"/>
          <w:u w:val="single" w:color="auto"/>
          <w:color w:val="auto"/>
        </w:rPr>
        <w:t>Section 5.03</w:t>
      </w:r>
      <w:r>
        <w:rPr>
          <w:rFonts w:ascii="Times New Roman" w:cs="Times New Roman" w:eastAsia="Times New Roman" w:hAnsi="Times New Roman"/>
          <w:sz w:val="14"/>
          <w:szCs w:val="14"/>
          <w:color w:val="auto"/>
        </w:rPr>
        <w:t xml:space="preserve">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5.04 </w:t>
      </w:r>
      <w:r>
        <w:rPr>
          <w:rFonts w:ascii="Times New Roman" w:cs="Times New Roman" w:eastAsia="Times New Roman" w:hAnsi="Times New Roman"/>
          <w:sz w:val="14"/>
          <w:szCs w:val="14"/>
          <w:u w:val="single" w:color="auto"/>
          <w:color w:val="auto"/>
        </w:rPr>
        <w:t>Reports by the Trustee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752"/>
        <w:spacing w:after="0" w:line="252" w:lineRule="auto"/>
        <w:tabs>
          <w:tab w:leader="none" w:pos="1259"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required by Section 313(a) of the Trust Indenture Act, the Trustee, within sixty (60) days after each May 15, commencing the calendar year after the year in which the first Securities are issued hereunder, shall transmit by mail, first class postage prepaid, to the Securityholders, as their names and addresses appear upon the Security Register, a brief report dated as of such May 15, which complies with Section 313(a) of the Trust Indenture Act.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0" w:right="1440" w:bottom="1440" w:gutter="0" w:footer="0" w:header="0"/>
        </w:sectPr>
      </w:pPr>
    </w:p>
    <w:bookmarkStart w:id="63" w:name="page64"/>
    <w:bookmarkEnd w:id="63"/>
    <w:p>
      <w:pPr>
        <w:ind w:left="1260" w:hanging="188"/>
        <w:spacing w:after="0"/>
        <w:tabs>
          <w:tab w:leader="none" w:pos="1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Trustee shall comply with Section 313(b) and 313(c) of the Trust Indenture Act.</w:t>
      </w:r>
    </w:p>
    <w:p>
      <w:pPr>
        <w:spacing w:after="0" w:line="167" w:lineRule="exact"/>
        <w:rPr>
          <w:rFonts w:ascii="Times New Roman" w:cs="Times New Roman" w:eastAsia="Times New Roman" w:hAnsi="Times New Roman"/>
          <w:sz w:val="14"/>
          <w:szCs w:val="14"/>
          <w:color w:val="auto"/>
        </w:rPr>
      </w:pPr>
    </w:p>
    <w:p>
      <w:pPr>
        <w:ind w:left="320" w:right="439" w:firstLine="752"/>
        <w:spacing w:after="0" w:line="255" w:lineRule="auto"/>
        <w:tabs>
          <w:tab w:leader="none" w:pos="1259"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in writing when any Securities become listed on any securities exchange or of any delisting thereof.</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6</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REMEDIES OF THE TRUSTEE AND SECURITYHOLDERS 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EVENT OF DEFAULT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6.01 </w:t>
      </w:r>
      <w:r>
        <w:rPr>
          <w:rFonts w:ascii="Times New Roman" w:cs="Times New Roman" w:eastAsia="Times New Roman" w:hAnsi="Times New Roman"/>
          <w:sz w:val="14"/>
          <w:szCs w:val="14"/>
          <w:u w:val="single" w:color="auto"/>
          <w:color w:val="auto"/>
        </w:rPr>
        <w:t>Events of Default</w:t>
      </w:r>
      <w:r>
        <w:rPr>
          <w:rFonts w:ascii="Times New Roman" w:cs="Times New Roman" w:eastAsia="Times New Roman" w:hAnsi="Times New Roman"/>
          <w:sz w:val="14"/>
          <w:szCs w:val="14"/>
          <w:color w:val="auto"/>
        </w:rPr>
        <w:t>.</w:t>
      </w:r>
    </w:p>
    <w:p>
      <w:pPr>
        <w:spacing w:after="0" w:line="163" w:lineRule="exact"/>
        <w:rPr>
          <w:sz w:val="20"/>
          <w:szCs w:val="20"/>
          <w:color w:val="auto"/>
        </w:rPr>
      </w:pPr>
    </w:p>
    <w:p>
      <w:pPr>
        <w:ind w:left="320" w:right="599" w:firstLine="752"/>
        <w:spacing w:after="0" w:line="272" w:lineRule="auto"/>
        <w:tabs>
          <w:tab w:leader="none" w:pos="1259"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Whenever used herein with respect to Securities of a particular series, “</w:t>
      </w:r>
      <w:r>
        <w:rPr>
          <w:rFonts w:ascii="Times New Roman" w:cs="Times New Roman" w:eastAsia="Times New Roman" w:hAnsi="Times New Roman"/>
          <w:sz w:val="14"/>
          <w:szCs w:val="14"/>
          <w:b w:val="1"/>
          <w:bCs w:val="1"/>
          <w:color w:val="auto"/>
        </w:rPr>
        <w:t>Event of Default</w:t>
      </w:r>
      <w:r>
        <w:rPr>
          <w:rFonts w:ascii="Times New Roman" w:cs="Times New Roman" w:eastAsia="Times New Roman" w:hAnsi="Times New Roman"/>
          <w:sz w:val="14"/>
          <w:szCs w:val="14"/>
          <w:color w:val="auto"/>
        </w:rPr>
        <w:t>” means any one or more of the following events that has occurred and is continuing:</w:t>
      </w:r>
    </w:p>
    <w:p>
      <w:pPr>
        <w:spacing w:after="0" w:line="49" w:lineRule="exact"/>
        <w:rPr>
          <w:rFonts w:ascii="Times New Roman" w:cs="Times New Roman" w:eastAsia="Times New Roman" w:hAnsi="Times New Roman"/>
          <w:sz w:val="14"/>
          <w:szCs w:val="14"/>
          <w:color w:val="auto"/>
        </w:rPr>
      </w:pPr>
    </w:p>
    <w:p>
      <w:pPr>
        <w:jc w:val="both"/>
        <w:ind w:left="660" w:right="339" w:firstLine="717"/>
        <w:spacing w:after="0" w:line="252" w:lineRule="auto"/>
        <w:tabs>
          <w:tab w:leader="none" w:pos="1577"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defaults in the payment of any installment of interest upon any of the Securities of that series, as and when the same shall become due and payable, and such default continues for a period of 90 days;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a valid extension of an interest payment period by the Company in accordance with the terms of any indenture supplemental hereto shall not constitute a default in the payment of interest for this purpose;</w:t>
      </w:r>
    </w:p>
    <w:p>
      <w:pPr>
        <w:spacing w:after="0" w:line="62" w:lineRule="exact"/>
        <w:rPr>
          <w:rFonts w:ascii="Times New Roman" w:cs="Times New Roman" w:eastAsia="Times New Roman" w:hAnsi="Times New Roman"/>
          <w:sz w:val="14"/>
          <w:szCs w:val="14"/>
          <w:color w:val="auto"/>
        </w:rPr>
      </w:pPr>
    </w:p>
    <w:p>
      <w:pPr>
        <w:ind w:left="660" w:right="439" w:firstLine="717"/>
        <w:spacing w:after="0" w:line="277" w:lineRule="auto"/>
        <w:tabs>
          <w:tab w:leader="none" w:pos="1577"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a valid extension of the maturity of such Securities in accordance with the terms of any indenture supplemental hereto shall not constitute a default in the payment of principal or premium, if any;</w:t>
      </w:r>
    </w:p>
    <w:p>
      <w:pPr>
        <w:spacing w:after="0" w:line="48" w:lineRule="exact"/>
        <w:rPr>
          <w:rFonts w:ascii="Times New Roman" w:cs="Times New Roman" w:eastAsia="Times New Roman" w:hAnsi="Times New Roman"/>
          <w:sz w:val="13"/>
          <w:szCs w:val="13"/>
          <w:color w:val="auto"/>
        </w:rPr>
      </w:pPr>
    </w:p>
    <w:p>
      <w:pPr>
        <w:ind w:left="660" w:right="359" w:firstLine="717"/>
        <w:spacing w:after="0" w:line="249" w:lineRule="auto"/>
        <w:tabs>
          <w:tab w:leader="none" w:pos="1577"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fails to observe or perform any other of its covenants or agreements with respect to that series contained in this Indenture or otherwise established with respect to that series of Securities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w:t>
      </w:r>
      <w:r>
        <w:rPr>
          <w:rFonts w:ascii="Times New Roman" w:cs="Times New Roman" w:eastAsia="Times New Roman" w:hAnsi="Times New Roman"/>
          <w:sz w:val="14"/>
          <w:szCs w:val="14"/>
          <w:b w:val="1"/>
          <w:bCs w:val="1"/>
          <w:color w:val="auto"/>
        </w:rPr>
        <w:t>Notice of Default</w:t>
      </w:r>
      <w:r>
        <w:rPr>
          <w:rFonts w:ascii="Times New Roman" w:cs="Times New Roman" w:eastAsia="Times New Roman" w:hAnsi="Times New Roman"/>
          <w:sz w:val="14"/>
          <w:szCs w:val="14"/>
          <w:color w:val="auto"/>
        </w:rPr>
        <w:t>” hereunder, shall have been given to the Company by the Trustee or to the Company and the Trustee by the holders of at least 25% in principal amount of the Securities of that series at the time Outstanding;</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0" w:right="1440" w:bottom="1440" w:gutter="0" w:footer="0" w:header="0"/>
        </w:sectPr>
      </w:pPr>
    </w:p>
    <w:bookmarkStart w:id="64" w:name="page65"/>
    <w:bookmarkEnd w:id="64"/>
    <w:p>
      <w:pPr>
        <w:ind w:left="660" w:right="339" w:firstLine="717"/>
        <w:spacing w:after="0" w:line="255" w:lineRule="auto"/>
        <w:tabs>
          <w:tab w:leader="none" w:pos="1577" w:val="left"/>
        </w:tabs>
        <w:numPr>
          <w:ilvl w:val="2"/>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61" w:lineRule="exact"/>
        <w:rPr>
          <w:rFonts w:ascii="Times New Roman" w:cs="Times New Roman" w:eastAsia="Times New Roman" w:hAnsi="Times New Roman"/>
          <w:sz w:val="14"/>
          <w:szCs w:val="14"/>
          <w:color w:val="auto"/>
        </w:rPr>
      </w:pPr>
    </w:p>
    <w:p>
      <w:pPr>
        <w:ind w:left="660" w:right="379" w:firstLine="717"/>
        <w:spacing w:after="0" w:line="255" w:lineRule="auto"/>
        <w:tabs>
          <w:tab w:leader="none" w:pos="1577" w:val="left"/>
        </w:tabs>
        <w:numPr>
          <w:ilvl w:val="2"/>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43" w:lineRule="exact"/>
        <w:rPr>
          <w:rFonts w:ascii="Times New Roman" w:cs="Times New Roman" w:eastAsia="Times New Roman" w:hAnsi="Times New Roman"/>
          <w:sz w:val="14"/>
          <w:szCs w:val="14"/>
          <w:color w:val="auto"/>
        </w:rPr>
      </w:pPr>
    </w:p>
    <w:p>
      <w:pPr>
        <w:ind w:left="320" w:right="379" w:firstLine="752"/>
        <w:spacing w:after="0" w:line="267" w:lineRule="auto"/>
        <w:tabs>
          <w:tab w:leader="none" w:pos="1267" w:val="left"/>
        </w:tabs>
        <w:numPr>
          <w:ilvl w:val="1"/>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w:t>
      </w:r>
    </w:p>
    <w:p>
      <w:pPr>
        <w:ind w:left="320" w:right="379" w:hanging="1"/>
        <w:spacing w:after="0" w:line="249" w:lineRule="auto"/>
        <w:tabs>
          <w:tab w:leader="none" w:pos="514"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46" w:lineRule="exact"/>
        <w:rPr>
          <w:rFonts w:ascii="Times New Roman" w:cs="Times New Roman" w:eastAsia="Times New Roman" w:hAnsi="Times New Roman"/>
          <w:sz w:val="14"/>
          <w:szCs w:val="14"/>
          <w:color w:val="auto"/>
        </w:rPr>
      </w:pPr>
    </w:p>
    <w:p>
      <w:pPr>
        <w:ind w:left="320" w:right="339" w:firstLine="752"/>
        <w:spacing w:after="0" w:line="268" w:lineRule="auto"/>
        <w:tabs>
          <w:tab w:leader="none" w:pos="1259" w:val="left"/>
        </w:tabs>
        <w:numPr>
          <w:ilvl w:val="1"/>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w:t>
      </w:r>
      <w:r>
        <w:rPr>
          <w:rFonts w:ascii="Times New Roman" w:cs="Times New Roman" w:eastAsia="Times New Roman" w:hAnsi="Times New Roman"/>
          <w:sz w:val="13"/>
          <w:szCs w:val="13"/>
          <w:u w:val="single" w:color="auto"/>
          <w:color w:val="auto"/>
        </w:rPr>
        <w:t>Section 7.06</w:t>
      </w:r>
      <w:r>
        <w:rPr>
          <w:rFonts w:ascii="Times New Roman" w:cs="Times New Roman" w:eastAsia="Times New Roman" w:hAnsi="Times New Roman"/>
          <w:sz w:val="13"/>
          <w:szCs w:val="13"/>
          <w:color w:val="auto"/>
        </w:rPr>
        <w:t xml:space="preserve">,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w:t>
      </w:r>
      <w:r>
        <w:rPr>
          <w:rFonts w:ascii="Times New Roman" w:cs="Times New Roman" w:eastAsia="Times New Roman" w:hAnsi="Times New Roman"/>
          <w:sz w:val="13"/>
          <w:szCs w:val="13"/>
          <w:u w:val="single" w:color="auto"/>
          <w:color w:val="auto"/>
        </w:rPr>
        <w:t>Section 6.06</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No such rescission and annulment shall extend to or shall affect any subsequent default or impair any right consequent thereon.</w:t>
      </w:r>
    </w:p>
    <w:p>
      <w:pPr>
        <w:spacing w:after="0" w:line="11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0" w:right="1440" w:bottom="1440" w:gutter="0" w:footer="0" w:header="0"/>
        </w:sectPr>
      </w:pPr>
    </w:p>
    <w:bookmarkStart w:id="65" w:name="page66"/>
    <w:bookmarkEnd w:id="65"/>
    <w:p>
      <w:pPr>
        <w:ind w:left="320" w:right="379" w:firstLine="752"/>
        <w:spacing w:after="0" w:line="250" w:lineRule="auto"/>
        <w:tabs>
          <w:tab w:leader="none" w:pos="1267"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6.02 </w:t>
      </w:r>
      <w:r>
        <w:rPr>
          <w:rFonts w:ascii="Times New Roman" w:cs="Times New Roman" w:eastAsia="Times New Roman" w:hAnsi="Times New Roman"/>
          <w:sz w:val="14"/>
          <w:szCs w:val="14"/>
          <w:u w:val="single" w:color="auto"/>
          <w:color w:val="auto"/>
        </w:rPr>
        <w:t>Collection of Indebtedness and Suits for Enforcement by Trustee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752"/>
        <w:spacing w:after="0" w:line="249" w:lineRule="auto"/>
        <w:tabs>
          <w:tab w:leader="none" w:pos="1259"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covenants that if an Event of Default described in Section 6.01(a) or 6.01(b) shall have occurred with respect to the Securities of any series,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w:t>
      </w:r>
      <w:r>
        <w:rPr>
          <w:rFonts w:ascii="Times New Roman" w:cs="Times New Roman" w:eastAsia="Times New Roman" w:hAnsi="Times New Roman"/>
          <w:sz w:val="14"/>
          <w:szCs w:val="14"/>
          <w:u w:val="single" w:color="auto"/>
          <w:color w:val="auto"/>
        </w:rPr>
        <w:t>Section 7.06</w:t>
      </w:r>
      <w:r>
        <w:rPr>
          <w:rFonts w:ascii="Times New Roman" w:cs="Times New Roman" w:eastAsia="Times New Roman" w:hAnsi="Times New Roman"/>
          <w:sz w:val="14"/>
          <w:szCs w:val="14"/>
          <w:color w:val="auto"/>
        </w:rPr>
        <w:t>.</w:t>
      </w:r>
    </w:p>
    <w:p>
      <w:pPr>
        <w:spacing w:after="0" w:line="146" w:lineRule="exact"/>
        <w:rPr>
          <w:rFonts w:ascii="Times New Roman" w:cs="Times New Roman" w:eastAsia="Times New Roman" w:hAnsi="Times New Roman"/>
          <w:sz w:val="14"/>
          <w:szCs w:val="14"/>
          <w:color w:val="auto"/>
        </w:rPr>
      </w:pPr>
    </w:p>
    <w:p>
      <w:pPr>
        <w:ind w:left="320" w:right="339" w:firstLine="752"/>
        <w:spacing w:after="0" w:line="250" w:lineRule="auto"/>
        <w:tabs>
          <w:tab w:leader="none" w:pos="1267"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46" w:lineRule="exact"/>
        <w:rPr>
          <w:rFonts w:ascii="Times New Roman" w:cs="Times New Roman" w:eastAsia="Times New Roman" w:hAnsi="Times New Roman"/>
          <w:sz w:val="14"/>
          <w:szCs w:val="14"/>
          <w:color w:val="auto"/>
        </w:rPr>
      </w:pPr>
    </w:p>
    <w:p>
      <w:pPr>
        <w:ind w:left="320" w:right="359" w:firstLine="752"/>
        <w:spacing w:after="0" w:line="268" w:lineRule="auto"/>
        <w:tabs>
          <w:tab w:leader="none" w:pos="1259"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case of any receivership, insolvency, liquidation, bankruptcy, reorganization, readjustment, arrangement, composition or judicial proceedings affecting the Company, or its creditors or property, irrespective of whether the Trustee shall have made any demand pursuant to this </w:t>
      </w:r>
      <w:r>
        <w:rPr>
          <w:rFonts w:ascii="Times New Roman" w:cs="Times New Roman" w:eastAsia="Times New Roman" w:hAnsi="Times New Roman"/>
          <w:sz w:val="13"/>
          <w:szCs w:val="13"/>
          <w:u w:val="single" w:color="auto"/>
          <w:color w:val="auto"/>
        </w:rPr>
        <w:t>Section 6.02</w:t>
      </w:r>
      <w:r>
        <w:rPr>
          <w:rFonts w:ascii="Times New Roman" w:cs="Times New Roman" w:eastAsia="Times New Roman" w:hAnsi="Times New Roman"/>
          <w:sz w:val="13"/>
          <w:szCs w:val="13"/>
          <w:color w:val="auto"/>
        </w:rPr>
        <w:t xml:space="preserve">,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w:t>
      </w:r>
      <w:r>
        <w:rPr>
          <w:rFonts w:ascii="Times New Roman" w:cs="Times New Roman" w:eastAsia="Times New Roman" w:hAnsi="Times New Roman"/>
          <w:sz w:val="13"/>
          <w:szCs w:val="13"/>
          <w:u w:val="single" w:color="auto"/>
          <w:color w:val="auto"/>
        </w:rPr>
        <w:t>Section 7.06</w:t>
      </w:r>
      <w:r>
        <w:rPr>
          <w:rFonts w:ascii="Times New Roman" w:cs="Times New Roman" w:eastAsia="Times New Roman" w:hAnsi="Times New Roman"/>
          <w:sz w:val="13"/>
          <w:szCs w:val="13"/>
          <w:color w:val="auto"/>
        </w:rPr>
        <w:t xml:space="preserve">;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w:t>
      </w:r>
      <w:r>
        <w:rPr>
          <w:rFonts w:ascii="Times New Roman" w:cs="Times New Roman" w:eastAsia="Times New Roman" w:hAnsi="Times New Roman"/>
          <w:sz w:val="13"/>
          <w:szCs w:val="13"/>
          <w:u w:val="single" w:color="auto"/>
          <w:color w:val="auto"/>
        </w:rPr>
        <w:t>Section 7.06</w:t>
      </w:r>
      <w:r>
        <w:rPr>
          <w:rFonts w:ascii="Times New Roman" w:cs="Times New Roman" w:eastAsia="Times New Roman" w:hAnsi="Times New Roman"/>
          <w:sz w:val="13"/>
          <w:szCs w:val="13"/>
          <w:color w:val="auto"/>
        </w:rPr>
        <w: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0" w:right="1440" w:bottom="1440" w:gutter="0" w:footer="0" w:header="0"/>
        </w:sectPr>
      </w:pPr>
    </w:p>
    <w:bookmarkStart w:id="66" w:name="page67"/>
    <w:bookmarkEnd w:id="66"/>
    <w:p>
      <w:pPr>
        <w:ind w:left="320" w:right="339" w:firstLine="752"/>
        <w:spacing w:after="0" w:line="250" w:lineRule="auto"/>
        <w:tabs>
          <w:tab w:leader="none" w:pos="1267"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w:t>
      </w:r>
      <w:r>
        <w:rPr>
          <w:rFonts w:ascii="Times New Roman" w:cs="Times New Roman" w:eastAsia="Times New Roman" w:hAnsi="Times New Roman"/>
          <w:sz w:val="14"/>
          <w:szCs w:val="14"/>
          <w:u w:val="single" w:color="auto"/>
          <w:color w:val="auto"/>
        </w:rPr>
        <w:t>Section 7.06</w:t>
      </w:r>
      <w:r>
        <w:rPr>
          <w:rFonts w:ascii="Times New Roman" w:cs="Times New Roman" w:eastAsia="Times New Roman" w:hAnsi="Times New Roman"/>
          <w:sz w:val="14"/>
          <w:szCs w:val="14"/>
          <w:color w:val="auto"/>
        </w:rPr>
        <w:t>, be for the ratable benefit of the holders of the Securities of such series.</w:t>
      </w:r>
    </w:p>
    <w:p>
      <w:pPr>
        <w:spacing w:after="0" w:line="146" w:lineRule="exact"/>
        <w:rPr>
          <w:sz w:val="20"/>
          <w:szCs w:val="20"/>
          <w:color w:val="auto"/>
        </w:rPr>
      </w:pPr>
    </w:p>
    <w:p>
      <w:pPr>
        <w:ind w:left="320" w:right="459" w:firstLine="335"/>
        <w:spacing w:after="0" w:line="277" w:lineRule="auto"/>
        <w:rPr>
          <w:sz w:val="20"/>
          <w:szCs w:val="20"/>
          <w:color w:val="auto"/>
        </w:rPr>
      </w:pPr>
      <w:r>
        <w:rPr>
          <w:rFonts w:ascii="Times New Roman" w:cs="Times New Roman" w:eastAsia="Times New Roman" w:hAnsi="Times New Roman"/>
          <w:sz w:val="13"/>
          <w:szCs w:val="13"/>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31" w:lineRule="exact"/>
        <w:rPr>
          <w:sz w:val="20"/>
          <w:szCs w:val="20"/>
          <w:color w:val="auto"/>
        </w:rPr>
      </w:pPr>
    </w:p>
    <w:p>
      <w:pPr>
        <w:ind w:left="320" w:right="539" w:firstLine="335"/>
        <w:spacing w:after="0" w:line="255" w:lineRule="auto"/>
        <w:rPr>
          <w:sz w:val="20"/>
          <w:szCs w:val="20"/>
          <w:color w:val="auto"/>
        </w:rPr>
      </w:pPr>
      <w:r>
        <w:rPr>
          <w:rFonts w:ascii="Times New Roman" w:cs="Times New Roman" w:eastAsia="Times New Roman" w:hAnsi="Times New Roman"/>
          <w:sz w:val="14"/>
          <w:szCs w:val="14"/>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6.03 </w:t>
      </w:r>
      <w:r>
        <w:rPr>
          <w:rFonts w:ascii="Times New Roman" w:cs="Times New Roman" w:eastAsia="Times New Roman" w:hAnsi="Times New Roman"/>
          <w:sz w:val="14"/>
          <w:szCs w:val="14"/>
          <w:u w:val="single" w:color="auto"/>
          <w:color w:val="auto"/>
        </w:rPr>
        <w:t>Application of Moneys Collected.</w:t>
      </w:r>
    </w:p>
    <w:p>
      <w:pPr>
        <w:spacing w:after="0" w:line="167" w:lineRule="exact"/>
        <w:rPr>
          <w:sz w:val="20"/>
          <w:szCs w:val="20"/>
          <w:color w:val="auto"/>
        </w:rPr>
      </w:pPr>
    </w:p>
    <w:p>
      <w:pPr>
        <w:jc w:val="both"/>
        <w:ind w:left="320" w:right="399" w:firstLine="335"/>
        <w:spacing w:after="0" w:line="252" w:lineRule="auto"/>
        <w:rPr>
          <w:sz w:val="20"/>
          <w:szCs w:val="20"/>
          <w:color w:val="auto"/>
        </w:rPr>
      </w:pPr>
      <w:r>
        <w:rPr>
          <w:rFonts w:ascii="Times New Roman" w:cs="Times New Roman" w:eastAsia="Times New Roman" w:hAnsi="Times New Roman"/>
          <w:sz w:val="14"/>
          <w:szCs w:val="14"/>
          <w:color w:val="auto"/>
        </w:rPr>
        <w:t>Any moneys or properties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41" w:lineRule="exact"/>
        <w:rPr>
          <w:sz w:val="20"/>
          <w:szCs w:val="20"/>
          <w:color w:val="auto"/>
        </w:rPr>
      </w:pPr>
    </w:p>
    <w:p>
      <w:pPr>
        <w:ind w:left="320" w:right="499" w:firstLine="335"/>
        <w:spacing w:after="0" w:line="272" w:lineRule="auto"/>
        <w:rPr>
          <w:sz w:val="20"/>
          <w:szCs w:val="20"/>
          <w:color w:val="auto"/>
        </w:rPr>
      </w:pPr>
      <w:r>
        <w:rPr>
          <w:rFonts w:ascii="Times New Roman" w:cs="Times New Roman" w:eastAsia="Times New Roman" w:hAnsi="Times New Roman"/>
          <w:sz w:val="14"/>
          <w:szCs w:val="14"/>
          <w:b w:val="1"/>
          <w:bCs w:val="1"/>
          <w:color w:val="auto"/>
        </w:rPr>
        <w:t>FIRST</w:t>
      </w:r>
      <w:r>
        <w:rPr>
          <w:rFonts w:ascii="Times New Roman" w:cs="Times New Roman" w:eastAsia="Times New Roman" w:hAnsi="Times New Roman"/>
          <w:sz w:val="14"/>
          <w:szCs w:val="14"/>
          <w:color w:val="auto"/>
        </w:rPr>
        <w:t>: To the payment of reasonable costs and expenses of collection and of all amounts payable to the Trustee, its agents and attorneys under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Indenture;</w:t>
      </w:r>
    </w:p>
    <w:p>
      <w:pPr>
        <w:spacing w:after="0" w:line="127" w:lineRule="exact"/>
        <w:rPr>
          <w:sz w:val="20"/>
          <w:szCs w:val="20"/>
          <w:color w:val="auto"/>
        </w:rPr>
      </w:pPr>
    </w:p>
    <w:p>
      <w:pPr>
        <w:ind w:left="320" w:right="359" w:firstLine="335"/>
        <w:spacing w:after="0" w:line="258" w:lineRule="auto"/>
        <w:rPr>
          <w:sz w:val="20"/>
          <w:szCs w:val="20"/>
          <w:color w:val="auto"/>
        </w:rPr>
      </w:pPr>
      <w:r>
        <w:rPr>
          <w:rFonts w:ascii="Times New Roman" w:cs="Times New Roman" w:eastAsia="Times New Roman" w:hAnsi="Times New Roman"/>
          <w:sz w:val="14"/>
          <w:szCs w:val="14"/>
          <w:b w:val="1"/>
          <w:bCs w:val="1"/>
          <w:color w:val="auto"/>
        </w:rPr>
        <w:t>SECOND</w:t>
      </w:r>
      <w:r>
        <w:rPr>
          <w:rFonts w:ascii="Times New Roman" w:cs="Times New Roman" w:eastAsia="Times New Roman" w:hAnsi="Times New Roman"/>
          <w:sz w:val="14"/>
          <w:szCs w:val="14"/>
          <w:color w:val="auto"/>
        </w:rPr>
        <w:t>: To the payment of the amounts then due and unpaid upon Securities of such series for principal (and premium, if any) and interest,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THIRD</w:t>
      </w:r>
      <w:r>
        <w:rPr>
          <w:rFonts w:ascii="Times New Roman" w:cs="Times New Roman" w:eastAsia="Times New Roman" w:hAnsi="Times New Roman"/>
          <w:sz w:val="14"/>
          <w:szCs w:val="14"/>
          <w:color w:val="auto"/>
        </w:rPr>
        <w:t>: To the payment of the remainder, if any, to the Company or any other Person lawfully entitled thereto.</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6.04 </w:t>
      </w:r>
      <w:r>
        <w:rPr>
          <w:rFonts w:ascii="Times New Roman" w:cs="Times New Roman" w:eastAsia="Times New Roman" w:hAnsi="Times New Roman"/>
          <w:sz w:val="14"/>
          <w:szCs w:val="14"/>
          <w:u w:val="single" w:color="auto"/>
          <w:color w:val="auto"/>
        </w:rPr>
        <w:t>Limitation on Suits.</w:t>
      </w:r>
    </w:p>
    <w:p>
      <w:pPr>
        <w:spacing w:after="0" w:line="167" w:lineRule="exact"/>
        <w:rPr>
          <w:sz w:val="20"/>
          <w:szCs w:val="20"/>
          <w:color w:val="auto"/>
        </w:rPr>
      </w:pPr>
    </w:p>
    <w:p>
      <w:pPr>
        <w:ind w:left="320" w:right="439" w:firstLine="335"/>
        <w:spacing w:after="0" w:line="250" w:lineRule="auto"/>
        <w:rPr>
          <w:sz w:val="20"/>
          <w:szCs w:val="20"/>
          <w:color w:val="auto"/>
        </w:rPr>
      </w:pPr>
      <w:r>
        <w:rPr>
          <w:rFonts w:ascii="Times New Roman" w:cs="Times New Roman" w:eastAsia="Times New Roman" w:hAnsi="Times New Roman"/>
          <w:sz w:val="14"/>
          <w:szCs w:val="14"/>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40" w:right="1440" w:bottom="1440" w:gutter="0" w:footer="0" w:header="0"/>
        </w:sectPr>
      </w:pPr>
    </w:p>
    <w:bookmarkStart w:id="67" w:name="page68"/>
    <w:bookmarkEnd w:id="67"/>
    <w:p>
      <w:pPr>
        <w:ind w:left="320" w:right="35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shall have made written request upon the Trustee to institute such action, suit or proceeding in its own name as Trustee hereunder; (iii) such holder or holders shall have offered to the Trustee such indemnity reasonably satisfactory to it as it may require against the costs, expenses, claims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46" w:lineRule="exact"/>
        <w:rPr>
          <w:sz w:val="20"/>
          <w:szCs w:val="20"/>
          <w:color w:val="auto"/>
        </w:rPr>
      </w:pPr>
    </w:p>
    <w:p>
      <w:pPr>
        <w:ind w:left="320" w:right="359" w:firstLine="335"/>
        <w:spacing w:after="0" w:line="246" w:lineRule="auto"/>
        <w:rPr>
          <w:sz w:val="20"/>
          <w:szCs w:val="20"/>
          <w:color w:val="auto"/>
        </w:rPr>
      </w:pPr>
      <w:r>
        <w:rPr>
          <w:rFonts w:ascii="Times New Roman" w:cs="Times New Roman" w:eastAsia="Times New Roman" w:hAnsi="Times New Roman"/>
          <w:sz w:val="14"/>
          <w:szCs w:val="14"/>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(it being understood that the Trustee does not have an affirmative duty to ascertain whether or not such actions or forbearances are unduly prejudicial to such holders),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6.05 </w:t>
      </w:r>
      <w:r>
        <w:rPr>
          <w:rFonts w:ascii="Times New Roman" w:cs="Times New Roman" w:eastAsia="Times New Roman" w:hAnsi="Times New Roman"/>
          <w:sz w:val="14"/>
          <w:szCs w:val="14"/>
          <w:u w:val="single" w:color="auto"/>
          <w:color w:val="auto"/>
        </w:rPr>
        <w:t>Rights and Remedies Cumulative; Delay or Omission Not Waiver.</w:t>
      </w:r>
    </w:p>
    <w:p>
      <w:pPr>
        <w:spacing w:after="0" w:line="167" w:lineRule="exact"/>
        <w:rPr>
          <w:sz w:val="20"/>
          <w:szCs w:val="20"/>
          <w:color w:val="auto"/>
        </w:rPr>
      </w:pPr>
    </w:p>
    <w:p>
      <w:pPr>
        <w:ind w:left="320" w:right="339" w:firstLine="752"/>
        <w:spacing w:after="0" w:line="252" w:lineRule="auto"/>
        <w:tabs>
          <w:tab w:leader="none" w:pos="1259"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otherwise provided in </w:t>
      </w:r>
      <w:r>
        <w:rPr>
          <w:rFonts w:ascii="Times New Roman" w:cs="Times New Roman" w:eastAsia="Times New Roman" w:hAnsi="Times New Roman"/>
          <w:sz w:val="14"/>
          <w:szCs w:val="14"/>
          <w:u w:val="single" w:color="auto"/>
          <w:color w:val="auto"/>
        </w:rPr>
        <w:t>Section 2.07</w:t>
      </w:r>
      <w:r>
        <w:rPr>
          <w:rFonts w:ascii="Times New Roman" w:cs="Times New Roman" w:eastAsia="Times New Roman" w:hAnsi="Times New Roman"/>
          <w:sz w:val="14"/>
          <w:szCs w:val="14"/>
          <w:color w:val="auto"/>
        </w:rPr>
        <w:t>,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44" w:lineRule="exact"/>
        <w:rPr>
          <w:rFonts w:ascii="Times New Roman" w:cs="Times New Roman" w:eastAsia="Times New Roman" w:hAnsi="Times New Roman"/>
          <w:sz w:val="14"/>
          <w:szCs w:val="14"/>
          <w:color w:val="auto"/>
        </w:rPr>
      </w:pPr>
    </w:p>
    <w:p>
      <w:pPr>
        <w:ind w:left="320" w:right="359" w:firstLine="752"/>
        <w:spacing w:after="0" w:line="252" w:lineRule="auto"/>
        <w:tabs>
          <w:tab w:leader="none" w:pos="1267"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w:t>
      </w:r>
      <w:r>
        <w:rPr>
          <w:rFonts w:ascii="Times New Roman" w:cs="Times New Roman" w:eastAsia="Times New Roman" w:hAnsi="Times New Roman"/>
          <w:sz w:val="14"/>
          <w:szCs w:val="14"/>
          <w:u w:val="single" w:color="auto"/>
          <w:color w:val="auto"/>
        </w:rPr>
        <w:t>Section 6.04</w:t>
      </w:r>
      <w:r>
        <w:rPr>
          <w:rFonts w:ascii="Times New Roman" w:cs="Times New Roman" w:eastAsia="Times New Roman" w:hAnsi="Times New Roman"/>
          <w:sz w:val="14"/>
          <w:szCs w:val="14"/>
          <w:color w:val="auto"/>
        </w:rPr>
        <w:t>, every power and remedy given by this Article or by law to the Trustee or the Securityholders may be exercised from time to time, and as often as shall be deemed expedient, by the Trustee or by the Securityholders.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0" w:right="1440"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6.06 </w:t>
      </w:r>
      <w:r>
        <w:rPr>
          <w:rFonts w:ascii="Times New Roman" w:cs="Times New Roman" w:eastAsia="Times New Roman" w:hAnsi="Times New Roman"/>
          <w:sz w:val="14"/>
          <w:szCs w:val="14"/>
          <w:u w:val="single" w:color="auto"/>
          <w:color w:val="auto"/>
        </w:rPr>
        <w:t>Control by Securityholders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246" w:lineRule="auto"/>
        <w:rPr>
          <w:sz w:val="20"/>
          <w:szCs w:val="20"/>
          <w:color w:val="auto"/>
        </w:rPr>
      </w:pPr>
      <w:r>
        <w:rPr>
          <w:rFonts w:ascii="Times New Roman" w:cs="Times New Roman" w:eastAsia="Times New Roman" w:hAnsi="Times New Roman"/>
          <w:sz w:val="14"/>
          <w:szCs w:val="14"/>
          <w:color w:val="auto"/>
        </w:rPr>
        <w:t xml:space="preserve">The holders of a majority in aggregate principal amount of the Securities of any series at the time Outstanding, determined in accordance with </w:t>
      </w:r>
      <w:r>
        <w:rPr>
          <w:rFonts w:ascii="Times New Roman" w:cs="Times New Roman" w:eastAsia="Times New Roman" w:hAnsi="Times New Roman"/>
          <w:sz w:val="14"/>
          <w:szCs w:val="14"/>
          <w:u w:val="single" w:color="auto"/>
          <w:color w:val="auto"/>
        </w:rPr>
        <w:t>Section 8.04</w:t>
      </w:r>
      <w:r>
        <w:rPr>
          <w:rFonts w:ascii="Times New Roman" w:cs="Times New Roman" w:eastAsia="Times New Roman" w:hAnsi="Times New Roman"/>
          <w:sz w:val="14"/>
          <w:szCs w:val="14"/>
          <w:color w:val="auto"/>
        </w:rPr>
        <w:t xml:space="preserve">, shall have the right to direct the time, method and place of conducting any proceeding for any remedy available to the Trustee, or exercising any trust or power conferred on the Trustee with respect to such series;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such direction shall not be in conflict with any rule of law or with this Indenture or subject the Trustee in its sole discretion to personal liability. The Trustee shall have the right to decline to follow any such direction if the Trustee in good faith shall determine that the proceeding so directed, subject to the Trustee’s duties under the Trust Indenture Act, would involve the Trustee in personal liability or might be unduly prejudicial to the Securityholders not involved in the proceeding. Prior to taking any action under this Indenture, the Trustee shall be entitled to indemnity or security satisfactory to it against loss, liability or expense that may be caused by taking such action. The holders of a majority in aggregate principal amount of the Securities of any series at the time Outstanding affected thereby, determined in accordance with </w:t>
      </w:r>
      <w:r>
        <w:rPr>
          <w:rFonts w:ascii="Times New Roman" w:cs="Times New Roman" w:eastAsia="Times New Roman" w:hAnsi="Times New Roman"/>
          <w:sz w:val="14"/>
          <w:szCs w:val="14"/>
          <w:u w:val="single" w:color="auto"/>
          <w:color w:val="auto"/>
        </w:rPr>
        <w:t>Section 8.04</w:t>
      </w:r>
      <w:r>
        <w:rPr>
          <w:rFonts w:ascii="Times New Roman" w:cs="Times New Roman" w:eastAsia="Times New Roman" w:hAnsi="Times New Roman"/>
          <w:sz w:val="14"/>
          <w:szCs w:val="14"/>
          <w:color w:val="auto"/>
        </w:rPr>
        <w:t xml:space="preserve">, may on behalf of the holders of all of the Securities of such series waive any past default in the performance of any of the covenants contained herein or established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w:t>
      </w:r>
      <w:r>
        <w:rPr>
          <w:rFonts w:ascii="Times New Roman" w:cs="Times New Roman" w:eastAsia="Times New Roman" w:hAnsi="Times New Roman"/>
          <w:sz w:val="14"/>
          <w:szCs w:val="14"/>
          <w:u w:val="single" w:color="auto"/>
          <w:color w:val="auto"/>
        </w:rPr>
        <w:t>Section 6.01(c)</w:t>
      </w:r>
      <w:r>
        <w:rPr>
          <w:rFonts w:ascii="Times New Roman" w:cs="Times New Roman" w:eastAsia="Times New Roman" w:hAnsi="Times New Roman"/>
          <w:sz w:val="14"/>
          <w:szCs w:val="14"/>
          <w:color w:val="auto"/>
        </w:rPr>
        <w:t>).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6.07 </w:t>
      </w:r>
      <w:r>
        <w:rPr>
          <w:rFonts w:ascii="Times New Roman" w:cs="Times New Roman" w:eastAsia="Times New Roman" w:hAnsi="Times New Roman"/>
          <w:sz w:val="14"/>
          <w:szCs w:val="14"/>
          <w:u w:val="single" w:color="auto"/>
          <w:color w:val="auto"/>
        </w:rPr>
        <w:t>Undertaking to Pay Costs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335"/>
        <w:spacing w:after="0" w:line="269" w:lineRule="auto"/>
        <w:rPr>
          <w:sz w:val="20"/>
          <w:szCs w:val="20"/>
          <w:color w:val="auto"/>
        </w:rPr>
      </w:pPr>
      <w:r>
        <w:rPr>
          <w:rFonts w:ascii="Times New Roman" w:cs="Times New Roman" w:eastAsia="Times New Roman" w:hAnsi="Times New Roman"/>
          <w:sz w:val="13"/>
          <w:szCs w:val="13"/>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40" w:right="1440"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ARTICLE 7</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7.01 </w:t>
      </w:r>
      <w:r>
        <w:rPr>
          <w:rFonts w:ascii="Times New Roman" w:cs="Times New Roman" w:eastAsia="Times New Roman" w:hAnsi="Times New Roman"/>
          <w:sz w:val="14"/>
          <w:szCs w:val="14"/>
          <w:u w:val="single" w:color="auto"/>
          <w:color w:val="auto"/>
        </w:rPr>
        <w:t>Certain Duties and Responsibilities of Trustee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752"/>
        <w:spacing w:after="0" w:line="269" w:lineRule="auto"/>
        <w:tabs>
          <w:tab w:leader="none" w:pos="1259"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w:t>
      </w:r>
    </w:p>
    <w:p>
      <w:pPr>
        <w:spacing w:after="0" w:line="1" w:lineRule="exact"/>
        <w:rPr>
          <w:rFonts w:ascii="Times New Roman" w:cs="Times New Roman" w:eastAsia="Times New Roman" w:hAnsi="Times New Roman"/>
          <w:sz w:val="13"/>
          <w:szCs w:val="13"/>
          <w:color w:val="auto"/>
        </w:rPr>
      </w:pPr>
    </w:p>
    <w:p>
      <w:pPr>
        <w:ind w:left="320" w:right="379"/>
        <w:spacing w:after="0" w:line="24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person would exercise or use under the circumstances in the conduct of such person’s own affairs.</w:t>
      </w:r>
    </w:p>
    <w:p>
      <w:pPr>
        <w:spacing w:after="0" w:line="147" w:lineRule="exact"/>
        <w:rPr>
          <w:rFonts w:ascii="Times New Roman" w:cs="Times New Roman" w:eastAsia="Times New Roman" w:hAnsi="Times New Roman"/>
          <w:sz w:val="13"/>
          <w:szCs w:val="13"/>
          <w:color w:val="auto"/>
        </w:rPr>
      </w:pPr>
    </w:p>
    <w:p>
      <w:pPr>
        <w:ind w:left="320" w:right="579" w:firstLine="752"/>
        <w:spacing w:after="0" w:line="266" w:lineRule="auto"/>
        <w:tabs>
          <w:tab w:leader="none" w:pos="1267"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provision of this Indenture shall be construed to relieve the Trustee from liability for its own negligent action, its own negligent failure to act, or its own willful misconduct, except that:</w:t>
      </w:r>
    </w:p>
    <w:p>
      <w:pPr>
        <w:spacing w:after="0" w:line="53" w:lineRule="exact"/>
        <w:rPr>
          <w:rFonts w:ascii="Times New Roman" w:cs="Times New Roman" w:eastAsia="Times New Roman" w:hAnsi="Times New Roman"/>
          <w:sz w:val="14"/>
          <w:szCs w:val="14"/>
          <w:color w:val="auto"/>
        </w:rPr>
      </w:pPr>
    </w:p>
    <w:p>
      <w:pPr>
        <w:ind w:left="660" w:right="419" w:firstLine="717"/>
        <w:spacing w:after="0" w:line="266" w:lineRule="auto"/>
        <w:tabs>
          <w:tab w:leader="none" w:pos="1577"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occurrence of an Event of Default with respect to the Securities of a series and after the curing or waiving of all such Events of Default with respect to that series that may have occurred:</w:t>
      </w:r>
    </w:p>
    <w:p>
      <w:pPr>
        <w:spacing w:after="0" w:line="53" w:lineRule="exact"/>
        <w:rPr>
          <w:rFonts w:ascii="Times New Roman" w:cs="Times New Roman" w:eastAsia="Times New Roman" w:hAnsi="Times New Roman"/>
          <w:sz w:val="14"/>
          <w:szCs w:val="14"/>
          <w:color w:val="auto"/>
        </w:rPr>
      </w:pPr>
    </w:p>
    <w:p>
      <w:pPr>
        <w:ind w:left="660" w:right="439" w:firstLine="1038"/>
        <w:spacing w:after="0" w:line="252" w:lineRule="auto"/>
        <w:tabs>
          <w:tab w:leader="none" w:pos="1929" w:val="left"/>
        </w:tabs>
        <w:numPr>
          <w:ilvl w:val="2"/>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62" w:lineRule="exact"/>
        <w:rPr>
          <w:rFonts w:ascii="Times New Roman" w:cs="Times New Roman" w:eastAsia="Times New Roman" w:hAnsi="Times New Roman"/>
          <w:sz w:val="14"/>
          <w:szCs w:val="14"/>
          <w:color w:val="auto"/>
        </w:rPr>
      </w:pPr>
    </w:p>
    <w:p>
      <w:pPr>
        <w:ind w:left="660" w:right="379" w:firstLine="1038"/>
        <w:spacing w:after="0" w:line="249" w:lineRule="auto"/>
        <w:tabs>
          <w:tab w:leader="none" w:pos="1921" w:val="left"/>
        </w:tabs>
        <w:numPr>
          <w:ilvl w:val="2"/>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absence of willful misconduct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64" w:lineRule="exact"/>
        <w:rPr>
          <w:rFonts w:ascii="Times New Roman" w:cs="Times New Roman" w:eastAsia="Times New Roman" w:hAnsi="Times New Roman"/>
          <w:sz w:val="14"/>
          <w:szCs w:val="14"/>
          <w:color w:val="auto"/>
        </w:rPr>
      </w:pPr>
    </w:p>
    <w:p>
      <w:pPr>
        <w:ind w:left="660" w:right="479" w:firstLine="717"/>
        <w:spacing w:after="0" w:line="266" w:lineRule="auto"/>
        <w:tabs>
          <w:tab w:leader="none" w:pos="1577"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53" w:lineRule="exact"/>
        <w:rPr>
          <w:rFonts w:ascii="Times New Roman" w:cs="Times New Roman" w:eastAsia="Times New Roman" w:hAnsi="Times New Roman"/>
          <w:sz w:val="14"/>
          <w:szCs w:val="14"/>
          <w:color w:val="auto"/>
        </w:rPr>
      </w:pPr>
    </w:p>
    <w:p>
      <w:pPr>
        <w:ind w:left="660" w:right="459" w:firstLine="717"/>
        <w:spacing w:after="0" w:line="252" w:lineRule="auto"/>
        <w:tabs>
          <w:tab w:leader="none" w:pos="1577"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6" w:right="1440" w:bottom="1440" w:gutter="0" w:footer="0" w:header="0"/>
        </w:sectPr>
      </w:pPr>
    </w:p>
    <w:bookmarkStart w:id="70" w:name="page71"/>
    <w:bookmarkEnd w:id="70"/>
    <w:p>
      <w:pPr>
        <w:ind w:left="660" w:right="479" w:firstLine="717"/>
        <w:spacing w:after="0" w:line="252" w:lineRule="auto"/>
        <w:tabs>
          <w:tab w:leader="none" w:pos="1577"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none of the provisions contained in this Indenture shall require the Trustee to expend or risk its own funds or otherwise incur personal or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7.02 </w:t>
      </w:r>
      <w:r>
        <w:rPr>
          <w:rFonts w:ascii="Times New Roman" w:cs="Times New Roman" w:eastAsia="Times New Roman" w:hAnsi="Times New Roman"/>
          <w:sz w:val="14"/>
          <w:szCs w:val="14"/>
          <w:u w:val="single" w:color="auto"/>
          <w:color w:val="auto"/>
        </w:rPr>
        <w:t>Certain Rights of Trustee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Except as otherwise provided in </w:t>
      </w:r>
      <w:r>
        <w:rPr>
          <w:rFonts w:ascii="Times New Roman" w:cs="Times New Roman" w:eastAsia="Times New Roman" w:hAnsi="Times New Roman"/>
          <w:sz w:val="14"/>
          <w:szCs w:val="14"/>
          <w:u w:val="single" w:color="auto"/>
          <w:color w:val="auto"/>
        </w:rPr>
        <w:t>Section 7.01</w:t>
      </w:r>
      <w:r>
        <w:rPr>
          <w:rFonts w:ascii="Times New Roman" w:cs="Times New Roman" w:eastAsia="Times New Roman" w:hAnsi="Times New Roman"/>
          <w:sz w:val="14"/>
          <w:szCs w:val="14"/>
          <w:color w:val="auto"/>
        </w:rPr>
        <w:t>:</w:t>
      </w:r>
    </w:p>
    <w:p>
      <w:pPr>
        <w:spacing w:after="0" w:line="85" w:lineRule="exact"/>
        <w:rPr>
          <w:sz w:val="20"/>
          <w:szCs w:val="20"/>
          <w:color w:val="auto"/>
        </w:rPr>
      </w:pPr>
    </w:p>
    <w:p>
      <w:pPr>
        <w:ind w:left="320" w:right="439" w:firstLine="752"/>
        <w:spacing w:after="0" w:line="250" w:lineRule="auto"/>
        <w:tabs>
          <w:tab w:leader="none" w:pos="1259"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rely and shall be protected in acting or refraining from acting upon any resolution, certificate, statement, instrument, opinion, report, notice, request, consent, order, approval, bond, security or other paper or document or other evidence of indebtedness believed by it to be genuine and to have been signed or presented by the proper party or parties. The Trustee need not investigate any fact or matter stated in the document. The Trustee shall receive and retain financial reports and statements of the Company to the extent provided herein, but shall have no duty to review or analyze such reports or statements to determine compliance with covenants or other obligations of the Company;</w:t>
      </w:r>
    </w:p>
    <w:p>
      <w:pPr>
        <w:spacing w:after="0" w:line="146" w:lineRule="exact"/>
        <w:rPr>
          <w:rFonts w:ascii="Times New Roman" w:cs="Times New Roman" w:eastAsia="Times New Roman" w:hAnsi="Times New Roman"/>
          <w:sz w:val="14"/>
          <w:szCs w:val="14"/>
          <w:color w:val="auto"/>
        </w:rPr>
      </w:pPr>
    </w:p>
    <w:p>
      <w:pPr>
        <w:ind w:left="320" w:right="399" w:firstLine="752"/>
        <w:spacing w:after="0" w:line="255" w:lineRule="auto"/>
        <w:tabs>
          <w:tab w:leader="none" w:pos="1267"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43" w:lineRule="exact"/>
        <w:rPr>
          <w:rFonts w:ascii="Times New Roman" w:cs="Times New Roman" w:eastAsia="Times New Roman" w:hAnsi="Times New Roman"/>
          <w:sz w:val="14"/>
          <w:szCs w:val="14"/>
          <w:color w:val="auto"/>
        </w:rPr>
      </w:pPr>
    </w:p>
    <w:p>
      <w:pPr>
        <w:ind w:left="320" w:right="459" w:firstLine="752"/>
        <w:spacing w:after="0" w:line="305" w:lineRule="auto"/>
        <w:tabs>
          <w:tab w:leader="none" w:pos="1259"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consult with counsel of its selection and the advice of such counsel or, if requested, any Opinion of Counsel shall be full and complete authorization and protection in respect of any action taken or suffered or omitted hereunder in good faith and in reliance thereon;</w:t>
      </w:r>
    </w:p>
    <w:p>
      <w:pPr>
        <w:spacing w:after="0" w:line="112" w:lineRule="exact"/>
        <w:rPr>
          <w:rFonts w:ascii="Times New Roman" w:cs="Times New Roman" w:eastAsia="Times New Roman" w:hAnsi="Times New Roman"/>
          <w:sz w:val="13"/>
          <w:szCs w:val="13"/>
          <w:color w:val="auto"/>
        </w:rPr>
      </w:pPr>
    </w:p>
    <w:p>
      <w:pPr>
        <w:ind w:left="320" w:right="379" w:firstLine="752"/>
        <w:spacing w:after="0" w:line="284" w:lineRule="auto"/>
        <w:tabs>
          <w:tab w:leader="none" w:pos="1267"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(and if requested, provided) to the Trustee security or indemnity satisfactory to it against the costs, expenses, claims and liabilities that may be inclined therein or thereby;</w:t>
      </w:r>
    </w:p>
    <w:p>
      <w:pPr>
        <w:spacing w:after="0" w:line="125" w:lineRule="exact"/>
        <w:rPr>
          <w:rFonts w:ascii="Times New Roman" w:cs="Times New Roman" w:eastAsia="Times New Roman" w:hAnsi="Times New Roman"/>
          <w:sz w:val="13"/>
          <w:szCs w:val="13"/>
          <w:color w:val="auto"/>
        </w:rPr>
      </w:pPr>
    </w:p>
    <w:p>
      <w:pPr>
        <w:ind w:left="320" w:right="659" w:firstLine="752"/>
        <w:spacing w:after="0" w:line="266" w:lineRule="auto"/>
        <w:tabs>
          <w:tab w:leader="none" w:pos="1259"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action taken or omitted to be taken by it in good faith and believed by it to be authorized or within the discretion or rights or powers conferred upon it by this Indenture;</w:t>
      </w:r>
    </w:p>
    <w:p>
      <w:pPr>
        <w:spacing w:after="0" w:line="135" w:lineRule="exact"/>
        <w:rPr>
          <w:rFonts w:ascii="Times New Roman" w:cs="Times New Roman" w:eastAsia="Times New Roman" w:hAnsi="Times New Roman"/>
          <w:sz w:val="14"/>
          <w:szCs w:val="14"/>
          <w:color w:val="auto"/>
        </w:rPr>
      </w:pPr>
    </w:p>
    <w:p>
      <w:pPr>
        <w:ind w:left="320" w:right="519" w:firstLine="752"/>
        <w:spacing w:after="0" w:line="250" w:lineRule="auto"/>
        <w:tabs>
          <w:tab w:leader="none" w:pos="1244"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Trustee shall not be bound to make any investigation into the facts or matters stated in any resolution, certificate, statement, instrument, opinion, report, notice, request, consent, order, approval, bond, security, or other papers or documents or other evidence of indebtedness, unless requested in writing so to do by the holders of not less than a majority in principal amount of the Outstanding Securities of the particular series affected thereby (determined as provided in </w:t>
      </w:r>
      <w:r>
        <w:rPr>
          <w:rFonts w:ascii="Times New Roman" w:cs="Times New Roman" w:eastAsia="Times New Roman" w:hAnsi="Times New Roman"/>
          <w:sz w:val="14"/>
          <w:szCs w:val="14"/>
          <w:u w:val="single" w:color="auto"/>
          <w:color w:val="auto"/>
        </w:rPr>
        <w:t>Section 8.04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if the payment within a reasonable time to the Trustee of the costs, expenses, claims or liabilities likely to be incurred by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40" w:right="1440" w:bottom="1440" w:gutter="0" w:footer="0" w:header="0"/>
        </w:sectPr>
      </w:pPr>
    </w:p>
    <w:bookmarkStart w:id="71" w:name="page72"/>
    <w:bookmarkEnd w:id="71"/>
    <w:p>
      <w:pPr>
        <w:ind w:left="320" w:right="37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it in the making of such investigation is, in the opinion of the Trustee, not reasonably assured to the Trustee by the security afforded to it by the terms of this Indenture, the Trustee may require indemnity or security satisfactory to it against such costs, expenses, claims or liabilities as a condition to so proceeding. The reasonable expense of every such examination shall be paid by the Company or, if paid by the Trustee, shall be repaid by the Company upon demand;</w:t>
      </w:r>
    </w:p>
    <w:p>
      <w:pPr>
        <w:spacing w:after="0" w:line="145" w:lineRule="exact"/>
        <w:rPr>
          <w:sz w:val="20"/>
          <w:szCs w:val="20"/>
          <w:color w:val="auto"/>
        </w:rPr>
      </w:pPr>
    </w:p>
    <w:p>
      <w:pPr>
        <w:jc w:val="both"/>
        <w:ind w:left="320" w:right="399" w:firstLine="752"/>
        <w:spacing w:after="0" w:line="255" w:lineRule="auto"/>
        <w:tabs>
          <w:tab w:leader="none" w:pos="1267"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43" w:lineRule="exact"/>
        <w:rPr>
          <w:rFonts w:ascii="Times New Roman" w:cs="Times New Roman" w:eastAsia="Times New Roman" w:hAnsi="Times New Roman"/>
          <w:sz w:val="14"/>
          <w:szCs w:val="14"/>
          <w:color w:val="auto"/>
        </w:rPr>
      </w:pPr>
    </w:p>
    <w:p>
      <w:pPr>
        <w:ind w:left="320" w:right="379" w:firstLine="752"/>
        <w:spacing w:after="0" w:line="250" w:lineRule="auto"/>
        <w:tabs>
          <w:tab w:leader="none" w:pos="1267"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46" w:lineRule="exact"/>
        <w:rPr>
          <w:rFonts w:ascii="Times New Roman" w:cs="Times New Roman" w:eastAsia="Times New Roman" w:hAnsi="Times New Roman"/>
          <w:sz w:val="14"/>
          <w:szCs w:val="14"/>
          <w:color w:val="auto"/>
        </w:rPr>
      </w:pPr>
    </w:p>
    <w:p>
      <w:pPr>
        <w:ind w:left="320" w:right="539" w:firstLine="752"/>
        <w:spacing w:after="0" w:line="255" w:lineRule="auto"/>
        <w:tabs>
          <w:tab w:leader="none" w:pos="123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shall the Trustee be responsible or liable for special, punitive, indirect, or consequential loss or damage of any kind whatsoever (including, but not limited to, loss of profit) irrespective of whether the Trustee has been advised of the likelihood of such loss or damage and regardless of the form of action;</w:t>
      </w:r>
    </w:p>
    <w:p>
      <w:pPr>
        <w:spacing w:after="0" w:line="143" w:lineRule="exact"/>
        <w:rPr>
          <w:rFonts w:ascii="Times New Roman" w:cs="Times New Roman" w:eastAsia="Times New Roman" w:hAnsi="Times New Roman"/>
          <w:sz w:val="14"/>
          <w:szCs w:val="14"/>
          <w:color w:val="auto"/>
        </w:rPr>
      </w:pPr>
    </w:p>
    <w:p>
      <w:pPr>
        <w:ind w:left="1240" w:hanging="168"/>
        <w:spacing w:after="0"/>
        <w:tabs>
          <w:tab w:leader="none" w:pos="12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permissive rights of the Trustee enumerated herein shall not be construed as duties;</w:t>
      </w:r>
    </w:p>
    <w:p>
      <w:pPr>
        <w:spacing w:after="0" w:line="167" w:lineRule="exact"/>
        <w:rPr>
          <w:rFonts w:ascii="Times New Roman" w:cs="Times New Roman" w:eastAsia="Times New Roman" w:hAnsi="Times New Roman"/>
          <w:sz w:val="14"/>
          <w:szCs w:val="14"/>
          <w:color w:val="auto"/>
        </w:rPr>
      </w:pPr>
    </w:p>
    <w:p>
      <w:pPr>
        <w:ind w:left="320" w:right="339" w:firstLine="752"/>
        <w:spacing w:after="0" w:line="266" w:lineRule="auto"/>
        <w:tabs>
          <w:tab w:leader="none" w:pos="1267"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request that the Company deliver a certificate setting forth the names of individuals and/or titles of officers authorized at such time to take specified actions pursuant to this Indenture; and</w:t>
      </w:r>
    </w:p>
    <w:p>
      <w:pPr>
        <w:spacing w:after="0" w:line="135" w:lineRule="exact"/>
        <w:rPr>
          <w:rFonts w:ascii="Times New Roman" w:cs="Times New Roman" w:eastAsia="Times New Roman" w:hAnsi="Times New Roman"/>
          <w:sz w:val="14"/>
          <w:szCs w:val="14"/>
          <w:color w:val="auto"/>
        </w:rPr>
      </w:pPr>
    </w:p>
    <w:p>
      <w:pPr>
        <w:ind w:left="1240" w:hanging="168"/>
        <w:spacing w:after="0"/>
        <w:tabs>
          <w:tab w:leader="none" w:pos="12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required to give any bond or surety in respect of the performance of its powers and duties hereunder.</w:t>
      </w:r>
    </w:p>
    <w:p>
      <w:pPr>
        <w:spacing w:after="0" w:line="167" w:lineRule="exact"/>
        <w:rPr>
          <w:sz w:val="20"/>
          <w:szCs w:val="20"/>
          <w:color w:val="auto"/>
        </w:rPr>
      </w:pPr>
    </w:p>
    <w:p>
      <w:pPr>
        <w:jc w:val="both"/>
        <w:ind w:left="320" w:right="399" w:firstLine="335"/>
        <w:spacing w:after="0" w:line="255" w:lineRule="auto"/>
        <w:rPr>
          <w:sz w:val="20"/>
          <w:szCs w:val="20"/>
          <w:color w:val="auto"/>
        </w:rPr>
      </w:pPr>
      <w:r>
        <w:rPr>
          <w:rFonts w:ascii="Times New Roman" w:cs="Times New Roman" w:eastAsia="Times New Roman" w:hAnsi="Times New Roman"/>
          <w:sz w:val="14"/>
          <w:szCs w:val="14"/>
          <w:color w:val="auto"/>
        </w:rPr>
        <w:t>In addition, the Trustee shall not be deemed to have knowledge of any Default or Event of Default until a Responsible Officer of the Trustee shall have received written notification in the manner set forth in this Indenture, and such notice references the Securities and this Indenture or a Responsible Officer of the Trustee shall have obtained actual knowledge.</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7.03 </w:t>
      </w:r>
      <w:r>
        <w:rPr>
          <w:rFonts w:ascii="Times New Roman" w:cs="Times New Roman" w:eastAsia="Times New Roman" w:hAnsi="Times New Roman"/>
          <w:sz w:val="14"/>
          <w:szCs w:val="14"/>
          <w:u w:val="single" w:color="auto"/>
          <w:color w:val="auto"/>
        </w:rPr>
        <w:t>Trustee Not Responsible for Recitals or Issuance or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819" w:firstLine="752"/>
        <w:spacing w:after="0" w:line="266" w:lineRule="auto"/>
        <w:tabs>
          <w:tab w:leader="none" w:pos="1259"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recitals contained herein and in the Securities shall be taken as the statements of the Company, and the Trustee assumes no responsibility for the correctness of the same.</w:t>
      </w:r>
    </w:p>
    <w:p>
      <w:pPr>
        <w:spacing w:after="0" w:line="135"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makes no representations as to the validity or sufficiency of this Indenture or of the Securities.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40" w:right="1440" w:bottom="1440" w:gutter="0" w:footer="0" w:header="0"/>
        </w:sectPr>
      </w:pPr>
    </w:p>
    <w:bookmarkStart w:id="72" w:name="page73"/>
    <w:bookmarkEnd w:id="72"/>
    <w:p>
      <w:pPr>
        <w:ind w:left="320" w:right="659" w:firstLine="752"/>
        <w:spacing w:after="0" w:line="255" w:lineRule="auto"/>
        <w:tabs>
          <w:tab w:leader="none" w:pos="1259"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or for the use or application of any moneys received by any paying agent other than the Trustee.</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7.04 </w:t>
      </w:r>
      <w:r>
        <w:rPr>
          <w:rFonts w:ascii="Times New Roman" w:cs="Times New Roman" w:eastAsia="Times New Roman" w:hAnsi="Times New Roman"/>
          <w:sz w:val="14"/>
          <w:szCs w:val="14"/>
          <w:u w:val="single" w:color="auto"/>
          <w:color w:val="auto"/>
        </w:rPr>
        <w:t>May Hold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335"/>
        <w:spacing w:after="0" w:line="266" w:lineRule="auto"/>
        <w:rPr>
          <w:sz w:val="20"/>
          <w:szCs w:val="20"/>
          <w:color w:val="auto"/>
        </w:rPr>
      </w:pPr>
      <w:r>
        <w:rPr>
          <w:rFonts w:ascii="Times New Roman" w:cs="Times New Roman" w:eastAsia="Times New Roman" w:hAnsi="Times New Roman"/>
          <w:sz w:val="14"/>
          <w:szCs w:val="14"/>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7.05 </w:t>
      </w:r>
      <w:r>
        <w:rPr>
          <w:rFonts w:ascii="Times New Roman" w:cs="Times New Roman" w:eastAsia="Times New Roman" w:hAnsi="Times New Roman"/>
          <w:sz w:val="14"/>
          <w:szCs w:val="14"/>
          <w:u w:val="single" w:color="auto"/>
          <w:color w:val="auto"/>
        </w:rPr>
        <w:t>Moneys Held in Trust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99" w:firstLine="335"/>
        <w:spacing w:after="0" w:line="255" w:lineRule="auto"/>
        <w:rPr>
          <w:sz w:val="20"/>
          <w:szCs w:val="20"/>
          <w:color w:val="auto"/>
        </w:rPr>
      </w:pPr>
      <w:r>
        <w:rPr>
          <w:rFonts w:ascii="Times New Roman" w:cs="Times New Roman" w:eastAsia="Times New Roman" w:hAnsi="Times New Roman"/>
          <w:sz w:val="14"/>
          <w:szCs w:val="14"/>
          <w:color w:val="auto"/>
        </w:rPr>
        <w:t xml:space="preserve">Subject to the provisions of </w:t>
      </w:r>
      <w:r>
        <w:rPr>
          <w:rFonts w:ascii="Times New Roman" w:cs="Times New Roman" w:eastAsia="Times New Roman" w:hAnsi="Times New Roman"/>
          <w:sz w:val="14"/>
          <w:szCs w:val="14"/>
          <w:u w:val="single" w:color="auto"/>
          <w:color w:val="auto"/>
        </w:rPr>
        <w:t>Section 11.05</w:t>
      </w:r>
      <w:r>
        <w:rPr>
          <w:rFonts w:ascii="Times New Roman" w:cs="Times New Roman" w:eastAsia="Times New Roman" w:hAnsi="Times New Roman"/>
          <w:sz w:val="14"/>
          <w:szCs w:val="14"/>
          <w:color w:val="auto"/>
        </w:rPr>
        <w:t>,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in writing with the Company to pay thereon.</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7.06 </w:t>
      </w:r>
      <w:r>
        <w:rPr>
          <w:rFonts w:ascii="Times New Roman" w:cs="Times New Roman" w:eastAsia="Times New Roman" w:hAnsi="Times New Roman"/>
          <w:sz w:val="14"/>
          <w:szCs w:val="14"/>
          <w:u w:val="single" w:color="auto"/>
          <w:color w:val="auto"/>
        </w:rPr>
        <w:t>Compensation and Reimbursement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752"/>
        <w:spacing w:after="0" w:line="267" w:lineRule="auto"/>
        <w:tabs>
          <w:tab w:leader="none" w:pos="1259"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covenants and agrees to pay to the Trustee, and the Trustee shall be entitled to, such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and documented expenses, disbursements and advances incurred or made by the Trustee in accordance with any of the provisions of this Indenture (including the reasonable and documented fees and the expenses and disbursements of its counsel and of all Persons not regularly in its employ), except any such expense, disbursement or advance as may arise from its negligence or willful misconduct. The Company also covenants to indemnify the Trustee (and its officers, agents, directors and employees) for, and to hold it harmless against, any documented loss, liability or expense, including reasonable and documented attorneys’ fees, incurred without negligence or willful misconduct on the part of the Trustee and arising out of or in connection with the acceptance or administration of this trust, including the reasonable and documented costs and expenses of defending itself against any claim of liability in the premises (whether asserted by the Company, or any holder or any other Person) or liability in connection with the exercise or performance of any of its powers or duties hereunder, or in connection with enforcing the provisions of this Section.</w:t>
      </w:r>
    </w:p>
    <w:p>
      <w:pPr>
        <w:spacing w:after="0" w:line="138" w:lineRule="exact"/>
        <w:rPr>
          <w:rFonts w:ascii="Times New Roman" w:cs="Times New Roman" w:eastAsia="Times New Roman" w:hAnsi="Times New Roman"/>
          <w:sz w:val="13"/>
          <w:szCs w:val="13"/>
          <w:color w:val="auto"/>
        </w:rPr>
      </w:pPr>
    </w:p>
    <w:p>
      <w:pPr>
        <w:ind w:left="320" w:right="379" w:firstLine="752"/>
        <w:spacing w:after="0" w:line="252" w:lineRule="auto"/>
        <w:tabs>
          <w:tab w:leader="none" w:pos="1267"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obligations of the Company under this Section to compensate and indemnify the Trustee and to pay or reimburse the Trustee for reasonable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40" w:right="1440" w:bottom="1440" w:gutter="0" w:footer="0" w:header="0"/>
        </w:sectPr>
      </w:pPr>
    </w:p>
    <w:bookmarkStart w:id="73" w:name="page74"/>
    <w:bookmarkEnd w:id="73"/>
    <w:p>
      <w:pPr>
        <w:ind w:left="320" w:right="459" w:firstLine="752"/>
        <w:spacing w:after="0" w:line="249" w:lineRule="auto"/>
        <w:tabs>
          <w:tab w:leader="none" w:pos="1259"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To ensure the Company’s payment obligations in this Section, the Trustee shall have a lien prior to the Securities on all funds or property held or collected by the Trustee, except that held in trust to pay principal of, premium, if any, or interest on particular Securities. When the Trustee incurs expenses or renders services in connection with an Event of Default specified in </w:t>
      </w:r>
      <w:r>
        <w:rPr>
          <w:rFonts w:ascii="Times New Roman" w:cs="Times New Roman" w:eastAsia="Times New Roman" w:hAnsi="Times New Roman"/>
          <w:sz w:val="14"/>
          <w:szCs w:val="14"/>
          <w:u w:val="single" w:color="auto"/>
          <w:color w:val="auto"/>
        </w:rPr>
        <w:t>Section 6.01(a)(4)</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(5)</w:t>
      </w:r>
      <w:r>
        <w:rPr>
          <w:rFonts w:ascii="Times New Roman" w:cs="Times New Roman" w:eastAsia="Times New Roman" w:hAnsi="Times New Roman"/>
          <w:sz w:val="14"/>
          <w:szCs w:val="14"/>
          <w:color w:val="auto"/>
        </w:rPr>
        <w:t xml:space="preserve">, the expenses (including the reasonable fees and expenses of its counsel) and the compensation for services in connection therewith are to constitute expenses of administration under any Bankruptcy Law. The provisions of this </w:t>
      </w:r>
      <w:r>
        <w:rPr>
          <w:rFonts w:ascii="Times New Roman" w:cs="Times New Roman" w:eastAsia="Times New Roman" w:hAnsi="Times New Roman"/>
          <w:sz w:val="14"/>
          <w:szCs w:val="14"/>
          <w:u w:val="single" w:color="auto"/>
          <w:color w:val="auto"/>
        </w:rPr>
        <w:t>Section 7.06</w:t>
      </w:r>
      <w:r>
        <w:rPr>
          <w:rFonts w:ascii="Times New Roman" w:cs="Times New Roman" w:eastAsia="Times New Roman" w:hAnsi="Times New Roman"/>
          <w:sz w:val="14"/>
          <w:szCs w:val="14"/>
          <w:color w:val="auto"/>
        </w:rPr>
        <w:t xml:space="preserve"> shall survive the termination of this Indenture and the earlier resignation or removal of the Trustee.</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7.07 </w:t>
      </w:r>
      <w:r>
        <w:rPr>
          <w:rFonts w:ascii="Times New Roman" w:cs="Times New Roman" w:eastAsia="Times New Roman" w:hAnsi="Times New Roman"/>
          <w:sz w:val="14"/>
          <w:szCs w:val="14"/>
          <w:u w:val="single" w:color="auto"/>
          <w:color w:val="auto"/>
        </w:rPr>
        <w:t>Reliance on Officer’s Certificate or Opinion of Counsel</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335"/>
        <w:spacing w:after="0" w:line="249" w:lineRule="auto"/>
        <w:rPr>
          <w:sz w:val="20"/>
          <w:szCs w:val="20"/>
          <w:color w:val="auto"/>
        </w:rPr>
      </w:pPr>
      <w:r>
        <w:rPr>
          <w:rFonts w:ascii="Times New Roman" w:cs="Times New Roman" w:eastAsia="Times New Roman" w:hAnsi="Times New Roman"/>
          <w:sz w:val="14"/>
          <w:szCs w:val="14"/>
          <w:color w:val="auto"/>
        </w:rPr>
        <w:t xml:space="preserve">Except as otherwise provided in </w:t>
      </w:r>
      <w:r>
        <w:rPr>
          <w:rFonts w:ascii="Times New Roman" w:cs="Times New Roman" w:eastAsia="Times New Roman" w:hAnsi="Times New Roman"/>
          <w:sz w:val="14"/>
          <w:szCs w:val="14"/>
          <w:u w:val="single" w:color="auto"/>
          <w:color w:val="auto"/>
        </w:rPr>
        <w:t>Section 7.01</w:t>
      </w:r>
      <w:r>
        <w:rPr>
          <w:rFonts w:ascii="Times New Roman" w:cs="Times New Roman" w:eastAsia="Times New Roman" w:hAnsi="Times New Roman"/>
          <w:sz w:val="14"/>
          <w:szCs w:val="14"/>
          <w:color w:val="auto"/>
        </w:rPr>
        <w:t>,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willful misconduct on the part of the Trustee, be deemed to be conclusively proved and established by an Officer’s Certificate and Opinion of Counsel delivered to the Trustee and such certificate and opinion, in the absence of negligence or willful misconduct on the part of the Trustee, shall be full warrant to the Trustee for any action taken, suffered or omitted to be taken by it under the provisions of this Indenture upon the faith thereof.</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7.08 </w:t>
      </w:r>
      <w:r>
        <w:rPr>
          <w:rFonts w:ascii="Times New Roman" w:cs="Times New Roman" w:eastAsia="Times New Roman" w:hAnsi="Times New Roman"/>
          <w:sz w:val="14"/>
          <w:szCs w:val="14"/>
          <w:u w:val="single" w:color="auto"/>
          <w:color w:val="auto"/>
        </w:rPr>
        <w:t>Disqualification; Conflicting Interests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79" w:firstLine="335"/>
        <w:spacing w:after="0" w:line="266" w:lineRule="auto"/>
        <w:rPr>
          <w:sz w:val="20"/>
          <w:szCs w:val="20"/>
          <w:color w:val="auto"/>
        </w:rPr>
      </w:pPr>
      <w:r>
        <w:rPr>
          <w:rFonts w:ascii="Times New Roman" w:cs="Times New Roman" w:eastAsia="Times New Roman" w:hAnsi="Times New Roman"/>
          <w:sz w:val="14"/>
          <w:szCs w:val="14"/>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7.09 </w:t>
      </w:r>
      <w:r>
        <w:rPr>
          <w:rFonts w:ascii="Times New Roman" w:cs="Times New Roman" w:eastAsia="Times New Roman" w:hAnsi="Times New Roman"/>
          <w:sz w:val="14"/>
          <w:szCs w:val="14"/>
          <w:u w:val="single" w:color="auto"/>
          <w:color w:val="auto"/>
        </w:rPr>
        <w:t>Corporate Trustee Required; Eligibility</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left="320" w:right="379" w:firstLine="335"/>
        <w:spacing w:after="0" w:line="277" w:lineRule="auto"/>
        <w:rPr>
          <w:sz w:val="20"/>
          <w:szCs w:val="20"/>
          <w:color w:val="auto"/>
        </w:rPr>
      </w:pPr>
      <w:r>
        <w:rPr>
          <w:rFonts w:ascii="Times New Roman" w:cs="Times New Roman" w:eastAsia="Times New Roman" w:hAnsi="Times New Roman"/>
          <w:sz w:val="13"/>
          <w:szCs w:val="13"/>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31" w:lineRule="exact"/>
        <w:rPr>
          <w:sz w:val="20"/>
          <w:szCs w:val="20"/>
          <w:color w:val="auto"/>
        </w:rPr>
      </w:pPr>
    </w:p>
    <w:p>
      <w:pPr>
        <w:ind w:left="320" w:right="459" w:firstLine="335"/>
        <w:spacing w:after="0" w:line="249" w:lineRule="auto"/>
        <w:rPr>
          <w:sz w:val="20"/>
          <w:szCs w:val="20"/>
          <w:color w:val="auto"/>
        </w:rPr>
      </w:pPr>
      <w:r>
        <w:rPr>
          <w:rFonts w:ascii="Times New Roman" w:cs="Times New Roman" w:eastAsia="Times New Roman" w:hAnsi="Times New Roman"/>
          <w:sz w:val="14"/>
          <w:szCs w:val="14"/>
          <w:color w:val="auto"/>
        </w:rPr>
        <w:t xml:space="preserve">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w:t>
      </w:r>
      <w:r>
        <w:rPr>
          <w:rFonts w:ascii="Times New Roman" w:cs="Times New Roman" w:eastAsia="Times New Roman" w:hAnsi="Times New Roman"/>
          <w:sz w:val="14"/>
          <w:szCs w:val="14"/>
          <w:u w:val="single" w:color="auto"/>
          <w:color w:val="auto"/>
        </w:rPr>
        <w:t>Section 7.10</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40" w:right="1440"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7.10 </w:t>
      </w:r>
      <w:r>
        <w:rPr>
          <w:rFonts w:ascii="Times New Roman" w:cs="Times New Roman" w:eastAsia="Times New Roman" w:hAnsi="Times New Roman"/>
          <w:sz w:val="14"/>
          <w:szCs w:val="14"/>
          <w:u w:val="single" w:color="auto"/>
          <w:color w:val="auto"/>
        </w:rPr>
        <w:t>Resignation and Removal; Appointment of Successor</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752"/>
        <w:spacing w:after="0" w:line="247" w:lineRule="auto"/>
        <w:tabs>
          <w:tab w:leader="none" w:pos="1259"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or any successor hereafter appointed may at any time resign with respect to the Securities of one or more series by giving written notice thereof to the Company and by transmitting notice of resignation by electronic mail, or by first class postage prepaid mail,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48"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at any time any one of the following shall occur:</w:t>
      </w:r>
    </w:p>
    <w:p>
      <w:pPr>
        <w:spacing w:after="0" w:line="85" w:lineRule="exact"/>
        <w:rPr>
          <w:rFonts w:ascii="Times New Roman" w:cs="Times New Roman" w:eastAsia="Times New Roman" w:hAnsi="Times New Roman"/>
          <w:sz w:val="14"/>
          <w:szCs w:val="14"/>
          <w:color w:val="auto"/>
        </w:rPr>
      </w:pPr>
    </w:p>
    <w:p>
      <w:pPr>
        <w:ind w:left="660" w:right="739" w:firstLine="717"/>
        <w:spacing w:after="0" w:line="266" w:lineRule="auto"/>
        <w:tabs>
          <w:tab w:leader="none" w:pos="1546"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Trustee shall fail to comply with the provisions of </w:t>
      </w:r>
      <w:r>
        <w:rPr>
          <w:rFonts w:ascii="Times New Roman" w:cs="Times New Roman" w:eastAsia="Times New Roman" w:hAnsi="Times New Roman"/>
          <w:sz w:val="14"/>
          <w:szCs w:val="14"/>
          <w:u w:val="single" w:color="auto"/>
          <w:color w:val="auto"/>
        </w:rPr>
        <w:t>Section 7.08</w:t>
      </w:r>
      <w:r>
        <w:rPr>
          <w:rFonts w:ascii="Times New Roman" w:cs="Times New Roman" w:eastAsia="Times New Roman" w:hAnsi="Times New Roman"/>
          <w:sz w:val="14"/>
          <w:szCs w:val="14"/>
          <w:color w:val="auto"/>
        </w:rPr>
        <w:t xml:space="preserve"> after written request therefor by the Company or by any Securityholder who has been a bona fide holder of a Security or Securities for at least six months; or</w:t>
      </w:r>
    </w:p>
    <w:p>
      <w:pPr>
        <w:spacing w:after="0" w:line="53" w:lineRule="exact"/>
        <w:rPr>
          <w:rFonts w:ascii="Times New Roman" w:cs="Times New Roman" w:eastAsia="Times New Roman" w:hAnsi="Times New Roman"/>
          <w:sz w:val="14"/>
          <w:szCs w:val="14"/>
          <w:color w:val="auto"/>
        </w:rPr>
      </w:pPr>
    </w:p>
    <w:p>
      <w:pPr>
        <w:ind w:left="660" w:right="339" w:firstLine="717"/>
        <w:spacing w:after="0" w:line="266" w:lineRule="auto"/>
        <w:tabs>
          <w:tab w:leader="none" w:pos="1584"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Trustee shall cease to be eligible in accordance with the provisions of </w:t>
      </w:r>
      <w:r>
        <w:rPr>
          <w:rFonts w:ascii="Times New Roman" w:cs="Times New Roman" w:eastAsia="Times New Roman" w:hAnsi="Times New Roman"/>
          <w:sz w:val="14"/>
          <w:szCs w:val="14"/>
          <w:u w:val="single" w:color="auto"/>
          <w:color w:val="auto"/>
        </w:rPr>
        <w:t>Section 7.09</w:t>
      </w:r>
      <w:r>
        <w:rPr>
          <w:rFonts w:ascii="Times New Roman" w:cs="Times New Roman" w:eastAsia="Times New Roman" w:hAnsi="Times New Roman"/>
          <w:sz w:val="14"/>
          <w:szCs w:val="14"/>
          <w:color w:val="auto"/>
        </w:rPr>
        <w:t xml:space="preserve"> and shall fail to resign after written request therefor by the Company or by any such Securityholder; or</w:t>
      </w:r>
    </w:p>
    <w:p>
      <w:pPr>
        <w:spacing w:after="0" w:line="53" w:lineRule="exact"/>
        <w:rPr>
          <w:rFonts w:ascii="Times New Roman" w:cs="Times New Roman" w:eastAsia="Times New Roman" w:hAnsi="Times New Roman"/>
          <w:sz w:val="14"/>
          <w:szCs w:val="14"/>
          <w:color w:val="auto"/>
        </w:rPr>
      </w:pPr>
    </w:p>
    <w:p>
      <w:pPr>
        <w:ind w:left="660" w:right="379" w:firstLine="717"/>
        <w:spacing w:after="0" w:line="255" w:lineRule="auto"/>
        <w:tabs>
          <w:tab w:leader="none" w:pos="1622"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43" w:lineRule="exact"/>
        <w:rPr>
          <w:sz w:val="20"/>
          <w:szCs w:val="20"/>
          <w:color w:val="auto"/>
        </w:rPr>
      </w:pPr>
    </w:p>
    <w:p>
      <w:pPr>
        <w:ind w:left="320" w:right="419"/>
        <w:spacing w:after="0" w:line="274" w:lineRule="auto"/>
        <w:rPr>
          <w:sz w:val="20"/>
          <w:szCs w:val="20"/>
          <w:color w:val="auto"/>
        </w:rPr>
      </w:pPr>
      <w:r>
        <w:rPr>
          <w:rFonts w:ascii="Times New Roman" w:cs="Times New Roman" w:eastAsia="Times New Roman" w:hAnsi="Times New Roman"/>
          <w:sz w:val="13"/>
          <w:szCs w:val="13"/>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40" w:right="1440" w:bottom="1440" w:gutter="0" w:footer="0" w:header="0"/>
        </w:sectPr>
      </w:pPr>
    </w:p>
    <w:bookmarkStart w:id="75" w:name="page76"/>
    <w:bookmarkEnd w:id="75"/>
    <w:p>
      <w:pPr>
        <w:ind w:left="320" w:right="339" w:firstLine="752"/>
        <w:spacing w:after="0" w:line="255" w:lineRule="auto"/>
        <w:tabs>
          <w:tab w:leader="none" w:pos="125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43" w:lineRule="exact"/>
        <w:rPr>
          <w:rFonts w:ascii="Times New Roman" w:cs="Times New Roman" w:eastAsia="Times New Roman" w:hAnsi="Times New Roman"/>
          <w:sz w:val="14"/>
          <w:szCs w:val="14"/>
          <w:color w:val="auto"/>
        </w:rPr>
      </w:pPr>
    </w:p>
    <w:p>
      <w:pPr>
        <w:ind w:left="320" w:right="459" w:firstLine="752"/>
        <w:spacing w:after="0" w:line="305" w:lineRule="auto"/>
        <w:tabs>
          <w:tab w:leader="none" w:pos="1267"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resignation or removal of the Trustee and appointment of a successor trustee with respect to the Securities of a series pursuant to any of the provisions of this Section shall become effective upon acceptance of appointment by the successor trustee as provided in </w:t>
      </w:r>
      <w:r>
        <w:rPr>
          <w:rFonts w:ascii="Times New Roman" w:cs="Times New Roman" w:eastAsia="Times New Roman" w:hAnsi="Times New Roman"/>
          <w:sz w:val="13"/>
          <w:szCs w:val="13"/>
          <w:u w:val="single" w:color="auto"/>
          <w:color w:val="auto"/>
        </w:rPr>
        <w:t>Section 7.11</w:t>
      </w:r>
      <w:r>
        <w:rPr>
          <w:rFonts w:ascii="Times New Roman" w:cs="Times New Roman" w:eastAsia="Times New Roman" w:hAnsi="Times New Roman"/>
          <w:sz w:val="13"/>
          <w:szCs w:val="13"/>
          <w:color w:val="auto"/>
        </w:rPr>
        <w:t>.</w:t>
      </w:r>
    </w:p>
    <w:p>
      <w:pPr>
        <w:spacing w:after="0" w:line="112" w:lineRule="exact"/>
        <w:rPr>
          <w:rFonts w:ascii="Times New Roman" w:cs="Times New Roman" w:eastAsia="Times New Roman" w:hAnsi="Times New Roman"/>
          <w:sz w:val="13"/>
          <w:szCs w:val="13"/>
          <w:color w:val="auto"/>
        </w:rPr>
      </w:pPr>
    </w:p>
    <w:p>
      <w:pPr>
        <w:ind w:left="320" w:right="399" w:firstLine="752"/>
        <w:spacing w:after="0" w:line="266" w:lineRule="auto"/>
        <w:tabs>
          <w:tab w:leader="none" w:pos="125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7.11 </w:t>
      </w:r>
      <w:r>
        <w:rPr>
          <w:rFonts w:ascii="Times New Roman" w:cs="Times New Roman" w:eastAsia="Times New Roman" w:hAnsi="Times New Roman"/>
          <w:sz w:val="14"/>
          <w:szCs w:val="14"/>
          <w:u w:val="single" w:color="auto"/>
          <w:color w:val="auto"/>
        </w:rPr>
        <w:t>Acceptance of Appointment By Successor</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19" w:firstLine="752"/>
        <w:spacing w:after="0" w:line="248" w:lineRule="auto"/>
        <w:tabs>
          <w:tab w:leader="none" w:pos="1259"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full payment of any amount then due it pursuant to </w:t>
      </w:r>
      <w:r>
        <w:rPr>
          <w:rFonts w:ascii="Times New Roman" w:cs="Times New Roman" w:eastAsia="Times New Roman" w:hAnsi="Times New Roman"/>
          <w:sz w:val="14"/>
          <w:szCs w:val="14"/>
          <w:u w:val="single" w:color="auto"/>
          <w:color w:val="auto"/>
        </w:rPr>
        <w:t>Section 7.06</w:t>
      </w:r>
      <w:r>
        <w:rPr>
          <w:rFonts w:ascii="Times New Roman" w:cs="Times New Roman" w:eastAsia="Times New Roman" w:hAnsi="Times New Roman"/>
          <w:sz w:val="14"/>
          <w:szCs w:val="14"/>
          <w:color w:val="auto"/>
        </w:rPr>
        <w:t>,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48" w:lineRule="exact"/>
        <w:rPr>
          <w:rFonts w:ascii="Times New Roman" w:cs="Times New Roman" w:eastAsia="Times New Roman" w:hAnsi="Times New Roman"/>
          <w:sz w:val="14"/>
          <w:szCs w:val="14"/>
          <w:color w:val="auto"/>
        </w:rPr>
      </w:pPr>
    </w:p>
    <w:p>
      <w:pPr>
        <w:ind w:left="320" w:right="439" w:firstLine="752"/>
        <w:spacing w:after="0" w:line="246" w:lineRule="auto"/>
        <w:tabs>
          <w:tab w:leader="none" w:pos="1267"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40" w:right="1440" w:bottom="1440" w:gutter="0" w:footer="0" w:header="0"/>
        </w:sectPr>
      </w:pPr>
    </w:p>
    <w:bookmarkStart w:id="76" w:name="page77"/>
    <w:bookmarkEnd w:id="76"/>
    <w:p>
      <w:pPr>
        <w:ind w:left="320" w:right="499"/>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47" w:lineRule="exact"/>
        <w:rPr>
          <w:sz w:val="20"/>
          <w:szCs w:val="20"/>
          <w:color w:val="auto"/>
        </w:rPr>
      </w:pPr>
    </w:p>
    <w:p>
      <w:pPr>
        <w:ind w:left="320" w:right="439" w:firstLine="752"/>
        <w:spacing w:after="0" w:line="305" w:lineRule="auto"/>
        <w:tabs>
          <w:tab w:leader="none" w:pos="1259"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12" w:lineRule="exact"/>
        <w:rPr>
          <w:rFonts w:ascii="Times New Roman" w:cs="Times New Roman" w:eastAsia="Times New Roman" w:hAnsi="Times New Roman"/>
          <w:sz w:val="13"/>
          <w:szCs w:val="13"/>
          <w:color w:val="auto"/>
        </w:rPr>
      </w:pPr>
    </w:p>
    <w:p>
      <w:pPr>
        <w:ind w:left="320" w:right="579" w:firstLine="752"/>
        <w:spacing w:after="0" w:line="266" w:lineRule="auto"/>
        <w:tabs>
          <w:tab w:leader="none" w:pos="1267"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successor trustee shall accept its appointment unless at the time of such acceptance such successor trustee shall be qualified and eligible under this Article.</w:t>
      </w:r>
    </w:p>
    <w:p>
      <w:pPr>
        <w:spacing w:after="0" w:line="135" w:lineRule="exact"/>
        <w:rPr>
          <w:rFonts w:ascii="Times New Roman" w:cs="Times New Roman" w:eastAsia="Times New Roman" w:hAnsi="Times New Roman"/>
          <w:sz w:val="14"/>
          <w:szCs w:val="14"/>
          <w:color w:val="auto"/>
        </w:rPr>
      </w:pPr>
    </w:p>
    <w:p>
      <w:pPr>
        <w:ind w:left="320" w:right="339" w:firstLine="752"/>
        <w:spacing w:after="0" w:line="252" w:lineRule="auto"/>
        <w:tabs>
          <w:tab w:leader="none" w:pos="1259"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7.12 </w:t>
      </w:r>
      <w:r>
        <w:rPr>
          <w:rFonts w:ascii="Times New Roman" w:cs="Times New Roman" w:eastAsia="Times New Roman" w:hAnsi="Times New Roman"/>
          <w:sz w:val="14"/>
          <w:szCs w:val="14"/>
          <w:u w:val="single" w:color="auto"/>
          <w:color w:val="auto"/>
        </w:rPr>
        <w:t>Merger, Conversion, Consolidation or Succession to Business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270" w:lineRule="auto"/>
        <w:rPr>
          <w:sz w:val="20"/>
          <w:szCs w:val="20"/>
          <w:color w:val="auto"/>
        </w:rPr>
      </w:pPr>
      <w:r>
        <w:rPr>
          <w:rFonts w:ascii="Times New Roman" w:cs="Times New Roman" w:eastAsia="Times New Roman" w:hAnsi="Times New Roman"/>
          <w:sz w:val="13"/>
          <w:szCs w:val="13"/>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such corporation shall be qualified under the provisions of </w:t>
      </w:r>
      <w:r>
        <w:rPr>
          <w:rFonts w:ascii="Times New Roman" w:cs="Times New Roman" w:eastAsia="Times New Roman" w:hAnsi="Times New Roman"/>
          <w:sz w:val="13"/>
          <w:szCs w:val="13"/>
          <w:u w:val="single" w:color="auto"/>
          <w:color w:val="auto"/>
        </w:rPr>
        <w:t>Section 7.08</w:t>
      </w:r>
      <w:r>
        <w:rPr>
          <w:rFonts w:ascii="Times New Roman" w:cs="Times New Roman" w:eastAsia="Times New Roman" w:hAnsi="Times New Roman"/>
          <w:sz w:val="13"/>
          <w:szCs w:val="13"/>
          <w:color w:val="auto"/>
        </w:rPr>
        <w:t xml:space="preserve"> and eligible under the provisions of </w:t>
      </w:r>
      <w:r>
        <w:rPr>
          <w:rFonts w:ascii="Times New Roman" w:cs="Times New Roman" w:eastAsia="Times New Roman" w:hAnsi="Times New Roman"/>
          <w:sz w:val="13"/>
          <w:szCs w:val="13"/>
          <w:u w:val="single" w:color="auto"/>
          <w:color w:val="auto"/>
        </w:rPr>
        <w:t>Section 7.09</w:t>
      </w:r>
      <w:r>
        <w:rPr>
          <w:rFonts w:ascii="Times New Roman" w:cs="Times New Roman" w:eastAsia="Times New Roman" w:hAnsi="Times New Roman"/>
          <w:sz w:val="13"/>
          <w:szCs w:val="13"/>
          <w:color w:val="auto"/>
        </w:rPr>
        <w:t>,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7.13 </w:t>
      </w:r>
      <w:r>
        <w:rPr>
          <w:rFonts w:ascii="Times New Roman" w:cs="Times New Roman" w:eastAsia="Times New Roman" w:hAnsi="Times New Roman"/>
          <w:sz w:val="14"/>
          <w:szCs w:val="14"/>
          <w:u w:val="single" w:color="auto"/>
          <w:color w:val="auto"/>
        </w:rPr>
        <w:t>Preferential Collection of Claims Against the Company</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left="320" w:right="519" w:firstLine="335"/>
        <w:spacing w:after="0" w:line="255" w:lineRule="auto"/>
        <w:rPr>
          <w:sz w:val="20"/>
          <w:szCs w:val="20"/>
          <w:color w:val="auto"/>
        </w:rPr>
      </w:pPr>
      <w:r>
        <w:rPr>
          <w:rFonts w:ascii="Times New Roman" w:cs="Times New Roman" w:eastAsia="Times New Roman" w:hAnsi="Times New Roman"/>
          <w:sz w:val="14"/>
          <w:szCs w:val="14"/>
          <w:color w:val="auto"/>
        </w:rPr>
        <w:t>The Trustee shall comply with Section 311 (a)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40" w:right="1440"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7.14 </w:t>
      </w:r>
      <w:r>
        <w:rPr>
          <w:rFonts w:ascii="Times New Roman" w:cs="Times New Roman" w:eastAsia="Times New Roman" w:hAnsi="Times New Roman"/>
          <w:sz w:val="14"/>
          <w:szCs w:val="14"/>
          <w:u w:val="single" w:color="auto"/>
          <w:color w:val="auto"/>
        </w:rPr>
        <w:t>Notice of Default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79" w:firstLine="335"/>
        <w:spacing w:after="0" w:line="249" w:lineRule="auto"/>
        <w:rPr>
          <w:sz w:val="20"/>
          <w:szCs w:val="20"/>
          <w:color w:val="auto"/>
        </w:rPr>
      </w:pPr>
      <w:r>
        <w:rPr>
          <w:rFonts w:ascii="Times New Roman" w:cs="Times New Roman" w:eastAsia="Times New Roman" w:hAnsi="Times New Roman"/>
          <w:sz w:val="14"/>
          <w:szCs w:val="14"/>
          <w:color w:val="auto"/>
        </w:rPr>
        <w:t xml:space="preserve">If any Event of Default occurs and is continuing and if such Event of Default is actually known to a Responsible Officer of the Trustee, the Trustee shall send to each Securityholder in the manner and to the extent provided in Section 313(c) of the Trust Indenture Act notice of the Event of Default within the later of 90 days after it occurs and 30 days after it is actually known to a Responsible Officer of the Trustee or written notice of it is received by the Trustee, unless such Event of Default has been cured;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except in the case of a default in the payment of the principal of (or premium, if any) or interest on any Security, the Trustee shall be protected in withholding such notice if and so long as it in good faith determines that the withholding of such notice is in the interest of the Securityholders.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8</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CONCERNING THE SECURITYHOLDERS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8.01 </w:t>
      </w:r>
      <w:r>
        <w:rPr>
          <w:rFonts w:ascii="Times New Roman" w:cs="Times New Roman" w:eastAsia="Times New Roman" w:hAnsi="Times New Roman"/>
          <w:sz w:val="14"/>
          <w:szCs w:val="14"/>
          <w:u w:val="single" w:color="auto"/>
          <w:color w:val="auto"/>
        </w:rPr>
        <w:t>Evidence of Action by Securityholders</w:t>
      </w:r>
      <w:r>
        <w:rPr>
          <w:rFonts w:ascii="Times New Roman" w:cs="Times New Roman" w:eastAsia="Times New Roman" w:hAnsi="Times New Roman"/>
          <w:sz w:val="14"/>
          <w:szCs w:val="14"/>
          <w:color w:val="auto"/>
        </w:rPr>
        <w:t>.</w:t>
      </w:r>
    </w:p>
    <w:p>
      <w:pPr>
        <w:spacing w:after="0" w:line="163" w:lineRule="exact"/>
        <w:rPr>
          <w:sz w:val="20"/>
          <w:szCs w:val="20"/>
          <w:color w:val="auto"/>
        </w:rPr>
      </w:pPr>
    </w:p>
    <w:p>
      <w:pPr>
        <w:ind w:left="320" w:right="359" w:firstLine="335"/>
        <w:spacing w:after="0" w:line="251" w:lineRule="auto"/>
        <w:rPr>
          <w:sz w:val="20"/>
          <w:szCs w:val="20"/>
          <w:color w:val="auto"/>
        </w:rPr>
      </w:pPr>
      <w:r>
        <w:rPr>
          <w:rFonts w:ascii="Times New Roman" w:cs="Times New Roman" w:eastAsia="Times New Roman" w:hAnsi="Times New Roman"/>
          <w:sz w:val="14"/>
          <w:szCs w:val="14"/>
          <w:color w:val="auto"/>
        </w:rPr>
        <w:t xml:space="preserve">Whenever in this Indenture it is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47" w:lineRule="exact"/>
        <w:rPr>
          <w:sz w:val="20"/>
          <w:szCs w:val="20"/>
          <w:color w:val="auto"/>
        </w:rPr>
      </w:pPr>
    </w:p>
    <w:p>
      <w:pPr>
        <w:ind w:left="320" w:right="399" w:firstLine="335"/>
        <w:spacing w:after="0" w:line="247" w:lineRule="auto"/>
        <w:rPr>
          <w:sz w:val="20"/>
          <w:szCs w:val="20"/>
          <w:color w:val="auto"/>
        </w:rPr>
      </w:pPr>
      <w:r>
        <w:rPr>
          <w:rFonts w:ascii="Times New Roman" w:cs="Times New Roman" w:eastAsia="Times New Roman" w:hAnsi="Times New Roman"/>
          <w:sz w:val="14"/>
          <w:szCs w:val="14"/>
          <w:color w:val="auto"/>
        </w:rPr>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8.02 </w:t>
      </w:r>
      <w:r>
        <w:rPr>
          <w:rFonts w:ascii="Times New Roman" w:cs="Times New Roman" w:eastAsia="Times New Roman" w:hAnsi="Times New Roman"/>
          <w:sz w:val="14"/>
          <w:szCs w:val="14"/>
          <w:u w:val="single" w:color="auto"/>
          <w:color w:val="auto"/>
        </w:rPr>
        <w:t>Proof of Execution by Securityholders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305" w:lineRule="auto"/>
        <w:rPr>
          <w:sz w:val="20"/>
          <w:szCs w:val="20"/>
          <w:color w:val="auto"/>
        </w:rPr>
      </w:pPr>
      <w:r>
        <w:rPr>
          <w:rFonts w:ascii="Times New Roman" w:cs="Times New Roman" w:eastAsia="Times New Roman" w:hAnsi="Times New Roman"/>
          <w:sz w:val="13"/>
          <w:szCs w:val="13"/>
          <w:color w:val="auto"/>
        </w:rPr>
        <w:t xml:space="preserve">Subject to the provisions of </w:t>
      </w:r>
      <w:r>
        <w:rPr>
          <w:rFonts w:ascii="Times New Roman" w:cs="Times New Roman" w:eastAsia="Times New Roman" w:hAnsi="Times New Roman"/>
          <w:sz w:val="13"/>
          <w:szCs w:val="13"/>
          <w:u w:val="single" w:color="auto"/>
          <w:color w:val="auto"/>
        </w:rPr>
        <w:t>Section 7.01</w:t>
      </w:r>
      <w:r>
        <w:rPr>
          <w:rFonts w:ascii="Times New Roman" w:cs="Times New Roman" w:eastAsia="Times New Roman" w:hAnsi="Times New Roman"/>
          <w:sz w:val="13"/>
          <w:szCs w:val="13"/>
          <w:color w:val="auto"/>
        </w:rPr>
        <w:t>, proof of the execution of any instrument by a Securityholder (such proof will not require notarization) or his agent or proxy and proof of the holding by any Person of any of the Securities shall be sufficient if made in the following manner:</w:t>
      </w:r>
    </w:p>
    <w:p>
      <w:pPr>
        <w:spacing w:after="0" w:line="3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(a) The fact and date of the execution by any such Person of any instrument may be proved in any reasonable manner acceptable to the</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Trustee.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39" w:right="1440" w:bottom="1440" w:gutter="0" w:footer="0" w:header="0"/>
        </w:sectPr>
      </w:pPr>
    </w:p>
    <w:bookmarkStart w:id="78" w:name="page79"/>
    <w:bookmarkEnd w:id="78"/>
    <w:p>
      <w:pPr>
        <w:ind w:left="320" w:right="619" w:firstLine="752"/>
        <w:spacing w:after="0" w:line="266" w:lineRule="auto"/>
        <w:tabs>
          <w:tab w:leader="none" w:pos="1267"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8.03 </w:t>
      </w:r>
      <w:r>
        <w:rPr>
          <w:rFonts w:ascii="Times New Roman" w:cs="Times New Roman" w:eastAsia="Times New Roman" w:hAnsi="Times New Roman"/>
          <w:sz w:val="14"/>
          <w:szCs w:val="14"/>
          <w:u w:val="single" w:color="auto"/>
          <w:color w:val="auto"/>
        </w:rPr>
        <w:t>Who May be Deemed Owners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19" w:firstLine="335"/>
        <w:spacing w:after="0" w:line="249" w:lineRule="auto"/>
        <w:rPr>
          <w:sz w:val="20"/>
          <w:szCs w:val="20"/>
          <w:color w:val="auto"/>
        </w:rPr>
      </w:pPr>
      <w:r>
        <w:rPr>
          <w:rFonts w:ascii="Times New Roman" w:cs="Times New Roman" w:eastAsia="Times New Roman" w:hAnsi="Times New Roman"/>
          <w:sz w:val="14"/>
          <w:szCs w:val="14"/>
          <w:color w:val="auto"/>
        </w:rPr>
        <w:t xml:space="preserve">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w:t>
      </w:r>
      <w:r>
        <w:rPr>
          <w:rFonts w:ascii="Times New Roman" w:cs="Times New Roman" w:eastAsia="Times New Roman" w:hAnsi="Times New Roman"/>
          <w:sz w:val="14"/>
          <w:szCs w:val="14"/>
          <w:u w:val="single" w:color="auto"/>
          <w:color w:val="auto"/>
        </w:rPr>
        <w:t>Section 2.03</w:t>
      </w:r>
      <w:r>
        <w:rPr>
          <w:rFonts w:ascii="Times New Roman" w:cs="Times New Roman" w:eastAsia="Times New Roman" w:hAnsi="Times New Roman"/>
          <w:sz w:val="14"/>
          <w:szCs w:val="14"/>
          <w:color w:val="auto"/>
        </w:rPr>
        <w:t>) interest on such Security and for all other purposes; and neither the Company nor the Trustee nor any paying agent nor any Security Registrar shall be affected by any notice to the contrary.</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8.04 </w:t>
      </w:r>
      <w:r>
        <w:rPr>
          <w:rFonts w:ascii="Times New Roman" w:cs="Times New Roman" w:eastAsia="Times New Roman" w:hAnsi="Times New Roman"/>
          <w:sz w:val="14"/>
          <w:szCs w:val="14"/>
          <w:u w:val="single" w:color="auto"/>
          <w:color w:val="auto"/>
        </w:rPr>
        <w:t>Certain Securities Owned by Company Disregarded</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99" w:firstLine="335"/>
        <w:spacing w:after="0" w:line="247" w:lineRule="auto"/>
        <w:rPr>
          <w:sz w:val="20"/>
          <w:szCs w:val="20"/>
          <w:color w:val="auto"/>
        </w:rPr>
      </w:pPr>
      <w:r>
        <w:rPr>
          <w:rFonts w:ascii="Times New Roman" w:cs="Times New Roman" w:eastAsia="Times New Roman" w:hAnsi="Times New Roman"/>
          <w:sz w:val="14"/>
          <w:szCs w:val="14"/>
          <w:color w:val="auto"/>
        </w:rPr>
        <w:t>In determining whether the holders of the requisite aggregate principal amount of Securities of a particular series have concurred in any direction, consent, demand, authorization, notice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a Responsible Officer of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8.05 </w:t>
      </w:r>
      <w:r>
        <w:rPr>
          <w:rFonts w:ascii="Times New Roman" w:cs="Times New Roman" w:eastAsia="Times New Roman" w:hAnsi="Times New Roman"/>
          <w:sz w:val="14"/>
          <w:szCs w:val="14"/>
          <w:u w:val="single" w:color="auto"/>
          <w:color w:val="auto"/>
        </w:rPr>
        <w:t>Actions Binding on Future Securityholders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59" w:firstLine="335"/>
        <w:spacing w:after="0" w:line="274" w:lineRule="auto"/>
        <w:rPr>
          <w:sz w:val="20"/>
          <w:szCs w:val="20"/>
          <w:color w:val="auto"/>
        </w:rPr>
      </w:pPr>
      <w:r>
        <w:rPr>
          <w:rFonts w:ascii="Times New Roman" w:cs="Times New Roman" w:eastAsia="Times New Roman" w:hAnsi="Times New Roman"/>
          <w:sz w:val="13"/>
          <w:szCs w:val="13"/>
          <w:color w:val="auto"/>
        </w:rPr>
        <w:t xml:space="preserve">At any time prior to (but not after) the evidencing to the Trustee, as provided in </w:t>
      </w:r>
      <w:r>
        <w:rPr>
          <w:rFonts w:ascii="Times New Roman" w:cs="Times New Roman" w:eastAsia="Times New Roman" w:hAnsi="Times New Roman"/>
          <w:sz w:val="13"/>
          <w:szCs w:val="13"/>
          <w:u w:val="single" w:color="auto"/>
          <w:color w:val="auto"/>
        </w:rPr>
        <w:t>Section 8.01</w:t>
      </w:r>
      <w:r>
        <w:rPr>
          <w:rFonts w:ascii="Times New Roman" w:cs="Times New Roman" w:eastAsia="Times New Roman" w:hAnsi="Times New Roman"/>
          <w:sz w:val="13"/>
          <w:szCs w:val="13"/>
          <w:color w:val="auto"/>
        </w:rPr>
        <w:t xml:space="preserve">,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w:t>
      </w:r>
      <w:r>
        <w:rPr>
          <w:rFonts w:ascii="Times New Roman" w:cs="Times New Roman" w:eastAsia="Times New Roman" w:hAnsi="Times New Roman"/>
          <w:sz w:val="13"/>
          <w:szCs w:val="13"/>
          <w:u w:val="single" w:color="auto"/>
          <w:color w:val="auto"/>
        </w:rPr>
        <w:t>Section 8.02</w:t>
      </w:r>
      <w:r>
        <w:rPr>
          <w:rFonts w:ascii="Times New Roman" w:cs="Times New Roman" w:eastAsia="Times New Roman" w:hAnsi="Times New Roman"/>
          <w:sz w:val="13"/>
          <w:szCs w:val="13"/>
          <w:color w:val="auto"/>
        </w:rPr>
        <w:t>, revoke such action so far as concerns such Security. Except as aforesaid any such action taken by the holder of any Security shall be conclusive and binding upon such holder and upon all future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40" w:right="1440" w:bottom="1440" w:gutter="0" w:footer="0" w:header="0"/>
        </w:sectPr>
      </w:pPr>
    </w:p>
    <w:bookmarkStart w:id="79" w:name="page80"/>
    <w:bookmarkEnd w:id="79"/>
    <w:p>
      <w:pPr>
        <w:jc w:val="both"/>
        <w:ind w:left="320" w:right="39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9</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SUPPLEMENTAL INDENTURES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9.01 </w:t>
      </w:r>
      <w:r>
        <w:rPr>
          <w:rFonts w:ascii="Times New Roman" w:cs="Times New Roman" w:eastAsia="Times New Roman" w:hAnsi="Times New Roman"/>
          <w:sz w:val="14"/>
          <w:szCs w:val="14"/>
          <w:u w:val="single" w:color="auto"/>
          <w:color w:val="auto"/>
        </w:rPr>
        <w:t>Supplemental Indentures Without the Consent of Securityholders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19" w:firstLine="335"/>
        <w:spacing w:after="0" w:line="255" w:lineRule="auto"/>
        <w:rPr>
          <w:sz w:val="20"/>
          <w:szCs w:val="20"/>
          <w:color w:val="auto"/>
        </w:rPr>
      </w:pPr>
      <w:r>
        <w:rPr>
          <w:rFonts w:ascii="Times New Roman" w:cs="Times New Roman" w:eastAsia="Times New Roman" w:hAnsi="Times New Roman"/>
          <w:sz w:val="14"/>
          <w:szCs w:val="14"/>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at any time Outstanding, for one or more of the following purposes:</w:t>
      </w:r>
    </w:p>
    <w:p>
      <w:pPr>
        <w:spacing w:after="0" w:line="61" w:lineRule="exact"/>
        <w:rPr>
          <w:sz w:val="20"/>
          <w:szCs w:val="20"/>
          <w:color w:val="auto"/>
        </w:rPr>
      </w:pPr>
    </w:p>
    <w:p>
      <w:pPr>
        <w:ind w:left="1260" w:hanging="188"/>
        <w:spacing w:after="0"/>
        <w:tabs>
          <w:tab w:leader="none" w:pos="12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herein or in the Securities of any series;</w:t>
      </w:r>
    </w:p>
    <w:p>
      <w:pPr>
        <w:spacing w:after="0" w:line="167"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comply with </w:t>
      </w:r>
      <w:r>
        <w:rPr>
          <w:rFonts w:ascii="Times New Roman" w:cs="Times New Roman" w:eastAsia="Times New Roman" w:hAnsi="Times New Roman"/>
          <w:sz w:val="14"/>
          <w:szCs w:val="14"/>
          <w:u w:val="single" w:color="auto"/>
          <w:color w:val="auto"/>
        </w:rPr>
        <w:t>Article 10</w:t>
      </w:r>
      <w:r>
        <w:rPr>
          <w:rFonts w:ascii="Times New Roman" w:cs="Times New Roman" w:eastAsia="Times New Roman" w:hAnsi="Times New Roman"/>
          <w:sz w:val="14"/>
          <w:szCs w:val="14"/>
          <w:color w:val="auto"/>
        </w:rPr>
        <w:t>;</w:t>
      </w:r>
    </w:p>
    <w:p>
      <w:pPr>
        <w:spacing w:after="0" w:line="167"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167" w:lineRule="exact"/>
        <w:rPr>
          <w:rFonts w:ascii="Times New Roman" w:cs="Times New Roman" w:eastAsia="Times New Roman" w:hAnsi="Times New Roman"/>
          <w:sz w:val="14"/>
          <w:szCs w:val="14"/>
          <w:color w:val="auto"/>
        </w:rPr>
      </w:pPr>
    </w:p>
    <w:p>
      <w:pPr>
        <w:ind w:left="320" w:right="419" w:firstLine="752"/>
        <w:spacing w:after="0" w:line="250" w:lineRule="auto"/>
        <w:tabs>
          <w:tab w:leader="none" w:pos="1267"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46" w:lineRule="exact"/>
        <w:rPr>
          <w:rFonts w:ascii="Times New Roman" w:cs="Times New Roman" w:eastAsia="Times New Roman" w:hAnsi="Times New Roman"/>
          <w:sz w:val="14"/>
          <w:szCs w:val="14"/>
          <w:color w:val="auto"/>
        </w:rPr>
      </w:pPr>
    </w:p>
    <w:p>
      <w:pPr>
        <w:ind w:left="320" w:right="679" w:firstLine="752"/>
        <w:spacing w:after="0" w:line="266" w:lineRule="auto"/>
        <w:tabs>
          <w:tab w:leader="none" w:pos="1259"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Securities, as herein set forth;</w:t>
      </w:r>
    </w:p>
    <w:p>
      <w:pPr>
        <w:spacing w:after="0" w:line="135" w:lineRule="exact"/>
        <w:rPr>
          <w:rFonts w:ascii="Times New Roman" w:cs="Times New Roman" w:eastAsia="Times New Roman" w:hAnsi="Times New Roman"/>
          <w:sz w:val="14"/>
          <w:szCs w:val="14"/>
          <w:color w:val="auto"/>
        </w:rPr>
      </w:pPr>
    </w:p>
    <w:p>
      <w:pPr>
        <w:ind w:left="1240" w:hanging="168"/>
        <w:spacing w:after="0"/>
        <w:tabs>
          <w:tab w:leader="none" w:pos="12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Securityholder in any material respect;</w:t>
      </w:r>
    </w:p>
    <w:p>
      <w:pPr>
        <w:spacing w:after="0" w:line="167"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the Securities of any series as provided in</w:t>
      </w:r>
    </w:p>
    <w:p>
      <w:pPr>
        <w:spacing w:after="0" w:line="15" w:lineRule="exact"/>
        <w:rPr>
          <w:sz w:val="20"/>
          <w:szCs w:val="20"/>
          <w:color w:val="auto"/>
        </w:rPr>
      </w:pPr>
    </w:p>
    <w:p>
      <w:pPr>
        <w:ind w:left="320" w:right="459"/>
        <w:spacing w:after="0" w:line="249" w:lineRule="auto"/>
        <w:rPr>
          <w:sz w:val="20"/>
          <w:szCs w:val="20"/>
          <w:color w:val="auto"/>
        </w:rPr>
      </w:pP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to establish the form of any certifications required to be furnished pursuant to the terms of this Indenture or any series of Securities, or to add to the rights of the holders of any series of Securities;</w:t>
      </w:r>
    </w:p>
    <w:p>
      <w:pPr>
        <w:spacing w:after="0" w:line="147" w:lineRule="exact"/>
        <w:rPr>
          <w:sz w:val="20"/>
          <w:szCs w:val="20"/>
          <w:color w:val="auto"/>
        </w:rPr>
      </w:pPr>
    </w:p>
    <w:p>
      <w:pPr>
        <w:ind w:left="1260" w:hanging="188"/>
        <w:spacing w:after="0"/>
        <w:tabs>
          <w:tab w:leader="none" w:pos="126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evidence and provide for the acceptance of appointment hereunder by a successor trustee or to appoint a separate trustee with respect</w:t>
      </w:r>
    </w:p>
    <w:p>
      <w:pPr>
        <w:spacing w:after="0" w:line="26" w:lineRule="exact"/>
        <w:rPr>
          <w:rFonts w:ascii="Times New Roman" w:cs="Times New Roman" w:eastAsia="Times New Roman" w:hAnsi="Times New Roman"/>
          <w:sz w:val="13"/>
          <w:szCs w:val="13"/>
          <w:color w:val="auto"/>
        </w:rPr>
      </w:pPr>
    </w:p>
    <w:p>
      <w:pPr>
        <w:ind w:left="3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to any series; or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40" w:right="1440" w:bottom="1440" w:gutter="0" w:footer="0" w:header="0"/>
        </w:sectPr>
      </w:pPr>
    </w:p>
    <w:bookmarkStart w:id="80" w:name="page81"/>
    <w:bookmarkEnd w:id="80"/>
    <w:p>
      <w:pPr>
        <w:ind w:left="320" w:right="499" w:firstLine="752"/>
        <w:spacing w:after="0" w:line="266" w:lineRule="auto"/>
        <w:tabs>
          <w:tab w:leader="none" w:pos="123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to comply with any requirements of the Commission or any successor in connection with the qualification of this Indenture under the Trust Indenture Act.</w:t>
      </w:r>
    </w:p>
    <w:p>
      <w:pPr>
        <w:spacing w:after="0" w:line="136" w:lineRule="exact"/>
        <w:rPr>
          <w:sz w:val="20"/>
          <w:szCs w:val="20"/>
          <w:color w:val="auto"/>
        </w:rPr>
      </w:pPr>
    </w:p>
    <w:p>
      <w:pPr>
        <w:jc w:val="both"/>
        <w:ind w:left="320" w:right="799" w:firstLine="335"/>
        <w:spacing w:after="0" w:line="255" w:lineRule="auto"/>
        <w:rPr>
          <w:sz w:val="20"/>
          <w:szCs w:val="20"/>
          <w:color w:val="auto"/>
        </w:rPr>
      </w:pPr>
      <w:r>
        <w:rPr>
          <w:rFonts w:ascii="Times New Roman" w:cs="Times New Roman" w:eastAsia="Times New Roman" w:hAnsi="Times New Roman"/>
          <w:sz w:val="14"/>
          <w:szCs w:val="14"/>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43" w:lineRule="exact"/>
        <w:rPr>
          <w:sz w:val="20"/>
          <w:szCs w:val="20"/>
          <w:color w:val="auto"/>
        </w:rPr>
      </w:pPr>
    </w:p>
    <w:p>
      <w:pPr>
        <w:ind w:left="320" w:right="399" w:firstLine="335"/>
        <w:spacing w:after="0" w:line="266" w:lineRule="auto"/>
        <w:rPr>
          <w:sz w:val="20"/>
          <w:szCs w:val="20"/>
          <w:color w:val="auto"/>
        </w:rPr>
      </w:pPr>
      <w:r>
        <w:rPr>
          <w:rFonts w:ascii="Times New Roman" w:cs="Times New Roman" w:eastAsia="Times New Roman" w:hAnsi="Times New Roman"/>
          <w:sz w:val="14"/>
          <w:szCs w:val="14"/>
          <w:color w:val="auto"/>
        </w:rPr>
        <w:t xml:space="preserve">Any supplemental indenture authorized by the provisions of this Section may be executed by the Company and the Trustee without the consent of the holders of any of the Securities at the time Outstanding, notwithstanding any of the provisions of </w:t>
      </w:r>
      <w:r>
        <w:rPr>
          <w:rFonts w:ascii="Times New Roman" w:cs="Times New Roman" w:eastAsia="Times New Roman" w:hAnsi="Times New Roman"/>
          <w:sz w:val="14"/>
          <w:szCs w:val="14"/>
          <w:u w:val="single" w:color="auto"/>
          <w:color w:val="auto"/>
        </w:rPr>
        <w:t>Section 9.02</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9.02 </w:t>
      </w:r>
      <w:r>
        <w:rPr>
          <w:rFonts w:ascii="Times New Roman" w:cs="Times New Roman" w:eastAsia="Times New Roman" w:hAnsi="Times New Roman"/>
          <w:sz w:val="14"/>
          <w:szCs w:val="14"/>
          <w:u w:val="single" w:color="auto"/>
          <w:color w:val="auto"/>
        </w:rPr>
        <w:t>Supplemental Indentures With Consent of Securityholders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335"/>
        <w:spacing w:after="0" w:line="247" w:lineRule="auto"/>
        <w:rPr>
          <w:sz w:val="20"/>
          <w:szCs w:val="20"/>
          <w:color w:val="auto"/>
        </w:rPr>
      </w:pPr>
      <w:r>
        <w:rPr>
          <w:rFonts w:ascii="Times New Roman" w:cs="Times New Roman" w:eastAsia="Times New Roman" w:hAnsi="Times New Roman"/>
          <w:sz w:val="14"/>
          <w:szCs w:val="14"/>
          <w:color w:val="auto"/>
        </w:rPr>
        <w:t xml:space="preserve">With the consent (evidenced as provided in </w:t>
      </w:r>
      <w:r>
        <w:rPr>
          <w:rFonts w:ascii="Times New Roman" w:cs="Times New Roman" w:eastAsia="Times New Roman" w:hAnsi="Times New Roman"/>
          <w:sz w:val="14"/>
          <w:szCs w:val="14"/>
          <w:u w:val="single" w:color="auto"/>
          <w:color w:val="auto"/>
        </w:rPr>
        <w:t>Section 8.01</w:t>
      </w:r>
      <w:r>
        <w:rPr>
          <w:rFonts w:ascii="Times New Roman" w:cs="Times New Roman" w:eastAsia="Times New Roman" w:hAnsi="Times New Roman"/>
          <w:sz w:val="14"/>
          <w:szCs w:val="14"/>
          <w:color w:val="auto"/>
        </w:rPr>
        <w:t xml:space="preserve">)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w:t>
      </w:r>
      <w:r>
        <w:rPr>
          <w:rFonts w:ascii="Times New Roman" w:cs="Times New Roman" w:eastAsia="Times New Roman" w:hAnsi="Times New Roman"/>
          <w:sz w:val="14"/>
          <w:szCs w:val="14"/>
          <w:u w:val="single" w:color="auto"/>
          <w:color w:val="auto"/>
        </w:rPr>
        <w:t>Section 9.01</w:t>
      </w:r>
      <w:r>
        <w:rPr>
          <w:rFonts w:ascii="Times New Roman" w:cs="Times New Roman" w:eastAsia="Times New Roman" w:hAnsi="Times New Roman"/>
          <w:sz w:val="14"/>
          <w:szCs w:val="14"/>
          <w:color w:val="auto"/>
        </w:rPr>
        <w:t xml:space="preserve"> the rights of the holders of the Securities of such series under this Indenture;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50" w:lineRule="exact"/>
        <w:rPr>
          <w:sz w:val="20"/>
          <w:szCs w:val="20"/>
          <w:color w:val="auto"/>
        </w:rPr>
      </w:pPr>
    </w:p>
    <w:p>
      <w:pPr>
        <w:jc w:val="both"/>
        <w:ind w:left="320" w:right="419" w:firstLine="335"/>
        <w:spacing w:after="0" w:line="284" w:lineRule="auto"/>
        <w:rPr>
          <w:sz w:val="20"/>
          <w:szCs w:val="20"/>
          <w:color w:val="auto"/>
        </w:rPr>
      </w:pPr>
      <w:r>
        <w:rPr>
          <w:rFonts w:ascii="Times New Roman" w:cs="Times New Roman" w:eastAsia="Times New Roman" w:hAnsi="Times New Roman"/>
          <w:sz w:val="13"/>
          <w:szCs w:val="13"/>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 The Trustee shall not be obligated to enter into any such supplemental indenture that affects the Trustee’s own rights, duties or immunities under this Indenture or otherwise.</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9.03 </w:t>
      </w:r>
      <w:r>
        <w:rPr>
          <w:rFonts w:ascii="Times New Roman" w:cs="Times New Roman" w:eastAsia="Times New Roman" w:hAnsi="Times New Roman"/>
          <w:sz w:val="14"/>
          <w:szCs w:val="14"/>
          <w:u w:val="single" w:color="auto"/>
          <w:color w:val="auto"/>
        </w:rPr>
        <w:t>Effect of Supplemental Indentures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249" w:lineRule="auto"/>
        <w:rPr>
          <w:sz w:val="20"/>
          <w:szCs w:val="20"/>
          <w:color w:val="auto"/>
        </w:rPr>
      </w:pPr>
      <w:r>
        <w:rPr>
          <w:rFonts w:ascii="Times New Roman" w:cs="Times New Roman" w:eastAsia="Times New Roman" w:hAnsi="Times New Roman"/>
          <w:sz w:val="14"/>
          <w:szCs w:val="14"/>
          <w:color w:val="auto"/>
        </w:rPr>
        <w:t xml:space="preserve">Upon the execution of any supplemental indenture pursuant to the provisions of this Article or of </w:t>
      </w:r>
      <w:r>
        <w:rPr>
          <w:rFonts w:ascii="Times New Roman" w:cs="Times New Roman" w:eastAsia="Times New Roman" w:hAnsi="Times New Roman"/>
          <w:sz w:val="14"/>
          <w:szCs w:val="14"/>
          <w:u w:val="single" w:color="auto"/>
          <w:color w:val="auto"/>
        </w:rPr>
        <w:t>Section 10.01</w:t>
      </w:r>
      <w:r>
        <w:rPr>
          <w:rFonts w:ascii="Times New Roman" w:cs="Times New Roman" w:eastAsia="Times New Roman" w:hAnsi="Times New Roman"/>
          <w:sz w:val="14"/>
          <w:szCs w:val="14"/>
          <w:color w:val="auto"/>
        </w:rPr>
        <w:t>, this Indenture shall, with respect to such series only,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with respect to such series.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40" w:right="1440"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9.04 </w:t>
      </w:r>
      <w:r>
        <w:rPr>
          <w:rFonts w:ascii="Times New Roman" w:cs="Times New Roman" w:eastAsia="Times New Roman" w:hAnsi="Times New Roman"/>
          <w:sz w:val="14"/>
          <w:szCs w:val="14"/>
          <w:u w:val="single" w:color="auto"/>
          <w:color w:val="auto"/>
        </w:rPr>
        <w:t>Securities Affected by Supplemental Indentures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59" w:firstLine="335"/>
        <w:spacing w:after="0" w:line="249" w:lineRule="auto"/>
        <w:rPr>
          <w:sz w:val="20"/>
          <w:szCs w:val="20"/>
          <w:color w:val="auto"/>
        </w:rPr>
      </w:pPr>
      <w:r>
        <w:rPr>
          <w:rFonts w:ascii="Times New Roman" w:cs="Times New Roman" w:eastAsia="Times New Roman" w:hAnsi="Times New Roman"/>
          <w:sz w:val="14"/>
          <w:szCs w:val="14"/>
          <w:color w:val="auto"/>
        </w:rPr>
        <w:t xml:space="preserve">Securities of any series affected by a supplemental indenture, authenticated and delivered after the execution of such supplemental indenture pursuant to the provisions of this Article or of </w:t>
      </w:r>
      <w:r>
        <w:rPr>
          <w:rFonts w:ascii="Times New Roman" w:cs="Times New Roman" w:eastAsia="Times New Roman" w:hAnsi="Times New Roman"/>
          <w:sz w:val="14"/>
          <w:szCs w:val="14"/>
          <w:u w:val="single" w:color="auto"/>
          <w:color w:val="auto"/>
        </w:rPr>
        <w:t>Section 10.01</w:t>
      </w:r>
      <w:r>
        <w:rPr>
          <w:rFonts w:ascii="Times New Roman" w:cs="Times New Roman" w:eastAsia="Times New Roman" w:hAnsi="Times New Roman"/>
          <w:sz w:val="14"/>
          <w:szCs w:val="14"/>
          <w:color w:val="auto"/>
        </w:rPr>
        <w:t>,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9.05 </w:t>
      </w:r>
      <w:r>
        <w:rPr>
          <w:rFonts w:ascii="Times New Roman" w:cs="Times New Roman" w:eastAsia="Times New Roman" w:hAnsi="Times New Roman"/>
          <w:sz w:val="14"/>
          <w:szCs w:val="14"/>
          <w:u w:val="single" w:color="auto"/>
          <w:color w:val="auto"/>
        </w:rPr>
        <w:t>Execution of Supplemental Indentures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269" w:lineRule="auto"/>
        <w:rPr>
          <w:sz w:val="20"/>
          <w:szCs w:val="20"/>
          <w:color w:val="auto"/>
        </w:rPr>
      </w:pPr>
      <w:r>
        <w:rPr>
          <w:rFonts w:ascii="Times New Roman" w:cs="Times New Roman" w:eastAsia="Times New Roman" w:hAnsi="Times New Roman"/>
          <w:sz w:val="13"/>
          <w:szCs w:val="13"/>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shall receive an Officer’s Certificate and an Opinion of Counsel as conclusive evidence that any supplemental indenture executed pursuant to this Article is authorized or permitted by the terms of this Article and that all conditions precedent to the execution of the supplemental indenture have been complied with and with respect to such Opinion of Counsel, that such supplemental indenture is the legal, valid and binding obligation of the Company, enforceable against each of them in accordance with its terms, subject to customary exceptions and qualifications.</w:t>
      </w:r>
    </w:p>
    <w:p>
      <w:pPr>
        <w:spacing w:after="0" w:line="137" w:lineRule="exact"/>
        <w:rPr>
          <w:sz w:val="20"/>
          <w:szCs w:val="20"/>
          <w:color w:val="auto"/>
        </w:rPr>
      </w:pPr>
    </w:p>
    <w:p>
      <w:pPr>
        <w:ind w:left="320" w:right="399" w:firstLine="335"/>
        <w:spacing w:after="0" w:line="250" w:lineRule="auto"/>
        <w:rPr>
          <w:sz w:val="20"/>
          <w:szCs w:val="20"/>
          <w:color w:val="auto"/>
        </w:rPr>
      </w:pPr>
      <w:r>
        <w:rPr>
          <w:rFonts w:ascii="Times New Roman" w:cs="Times New Roman" w:eastAsia="Times New Roman" w:hAnsi="Times New Roman"/>
          <w:sz w:val="14"/>
          <w:szCs w:val="14"/>
          <w:color w:val="auto"/>
        </w:rPr>
        <w:t>Promptly after the execution by the Company and the Trustee of any supplemental indenture pursuant to the provisions of this Article, the Company shall transmit by electronic mail, or by first class mail,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10</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SUCCESSOR ENTITY</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10.01 </w:t>
      </w:r>
      <w:r>
        <w:rPr>
          <w:rFonts w:ascii="Times New Roman" w:cs="Times New Roman" w:eastAsia="Times New Roman" w:hAnsi="Times New Roman"/>
          <w:sz w:val="14"/>
          <w:szCs w:val="14"/>
          <w:u w:val="single" w:color="auto"/>
          <w:color w:val="auto"/>
        </w:rPr>
        <w:t>Company May Consolidate, Etc</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19" w:firstLine="335"/>
        <w:spacing w:after="0" w:line="252" w:lineRule="auto"/>
        <w:rPr>
          <w:sz w:val="20"/>
          <w:szCs w:val="20"/>
          <w:color w:val="auto"/>
        </w:rPr>
      </w:pPr>
      <w:r>
        <w:rPr>
          <w:rFonts w:ascii="Times New Roman" w:cs="Times New Roman" w:eastAsia="Times New Roman" w:hAnsi="Times New Roman"/>
          <w:sz w:val="14"/>
          <w:szCs w:val="14"/>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40" w:right="1440" w:bottom="1440" w:gutter="0" w:footer="0" w:header="0"/>
        </w:sectPr>
      </w:pPr>
    </w:p>
    <w:bookmarkStart w:id="82" w:name="page83"/>
    <w:bookmarkEnd w:id="82"/>
    <w:p>
      <w:pPr>
        <w:ind w:left="320" w:right="37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successors) authorized to acquire and operate the same;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(a)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w:t>
      </w:r>
      <w:r>
        <w:rPr>
          <w:rFonts w:ascii="Times New Roman" w:cs="Times New Roman" w:eastAsia="Times New Roman" w:hAnsi="Times New Roman"/>
          <w:sz w:val="13"/>
          <w:szCs w:val="13"/>
          <w:u w:val="single" w:color="auto"/>
          <w:color w:val="auto"/>
        </w:rPr>
        <w:t>Section 2.01</w:t>
      </w:r>
      <w:r>
        <w:rPr>
          <w:rFonts w:ascii="Times New Roman" w:cs="Times New Roman" w:eastAsia="Times New Roman" w:hAnsi="Times New Roman"/>
          <w:sz w:val="13"/>
          <w:szCs w:val="13"/>
          <w:color w:val="auto"/>
        </w:rPr>
        <w:t xml:space="preserve"> to be kept or performed by the Company shall be expressly assumed, by supplemental indenture (which shall conform to the provisions of the Trust Indenture Act, as then in effect) executed and delivered to the Trustee by the entity formed by such consolidation, or into which the Company shall have been merged, or by the entity which shall have acquired such property and</w:t>
      </w:r>
    </w:p>
    <w:p>
      <w:pPr>
        <w:ind w:left="320" w:right="339" w:hanging="1"/>
        <w:spacing w:after="0" w:line="245" w:lineRule="auto"/>
        <w:tabs>
          <w:tab w:leader="none" w:pos="514"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 If the Company is not the surviving entity of any such transaction, the Company or the continuing entity agrees to deliver to the Trustee an Officer’s Certificate and Opinion of Counsel stating that the transaction and the supplemental indenture complies with this Section 10.01 and that all conditions precedent herein relating to the transaction have been satisfied.</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10.02 </w:t>
      </w:r>
      <w:r>
        <w:rPr>
          <w:rFonts w:ascii="Times New Roman" w:cs="Times New Roman" w:eastAsia="Times New Roman" w:hAnsi="Times New Roman"/>
          <w:sz w:val="14"/>
          <w:szCs w:val="14"/>
          <w:u w:val="single" w:color="auto"/>
          <w:color w:val="auto"/>
        </w:rPr>
        <w:t>Successor Entity Substituted</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519" w:firstLine="752"/>
        <w:spacing w:after="0" w:line="277" w:lineRule="auto"/>
        <w:tabs>
          <w:tab w:leader="none" w:pos="1259"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case of any such consolidation, merger, sale, conveyance, transfer or other disposition and upon the assumption by the successor entity by supplemental indenture, executed and delivered to the Trustee, of the obligations set forth under </w:t>
      </w:r>
      <w:r>
        <w:rPr>
          <w:rFonts w:ascii="Times New Roman" w:cs="Times New Roman" w:eastAsia="Times New Roman" w:hAnsi="Times New Roman"/>
          <w:sz w:val="13"/>
          <w:szCs w:val="13"/>
          <w:u w:val="single" w:color="auto"/>
          <w:color w:val="auto"/>
        </w:rPr>
        <w:t>Section 10.01</w:t>
      </w:r>
      <w:r>
        <w:rPr>
          <w:rFonts w:ascii="Times New Roman" w:cs="Times New Roman" w:eastAsia="Times New Roman" w:hAnsi="Times New Roman"/>
          <w:sz w:val="13"/>
          <w:szCs w:val="13"/>
          <w:color w:val="auto"/>
        </w:rPr>
        <w:t xml:space="preserve">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30" w:lineRule="exact"/>
        <w:rPr>
          <w:rFonts w:ascii="Times New Roman" w:cs="Times New Roman" w:eastAsia="Times New Roman" w:hAnsi="Times New Roman"/>
          <w:sz w:val="13"/>
          <w:szCs w:val="13"/>
          <w:color w:val="auto"/>
        </w:rPr>
      </w:pPr>
    </w:p>
    <w:p>
      <w:pPr>
        <w:ind w:left="320" w:right="479" w:firstLine="752"/>
        <w:spacing w:after="0" w:line="266" w:lineRule="auto"/>
        <w:tabs>
          <w:tab w:leader="none" w:pos="1267"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35" w:lineRule="exact"/>
        <w:rPr>
          <w:rFonts w:ascii="Times New Roman" w:cs="Times New Roman" w:eastAsia="Times New Roman" w:hAnsi="Times New Roman"/>
          <w:sz w:val="14"/>
          <w:szCs w:val="14"/>
          <w:color w:val="auto"/>
        </w:rPr>
      </w:pPr>
    </w:p>
    <w:p>
      <w:pPr>
        <w:ind w:left="320" w:right="439" w:firstLine="752"/>
        <w:spacing w:after="0" w:line="255" w:lineRule="auto"/>
        <w:tabs>
          <w:tab w:leader="none" w:pos="1259"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35" w:right="1440"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ARTICLE 11</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11.01 </w:t>
      </w:r>
      <w:r>
        <w:rPr>
          <w:rFonts w:ascii="Times New Roman" w:cs="Times New Roman" w:eastAsia="Times New Roman" w:hAnsi="Times New Roman"/>
          <w:sz w:val="14"/>
          <w:szCs w:val="14"/>
          <w:u w:val="single" w:color="auto"/>
          <w:color w:val="auto"/>
        </w:rPr>
        <w:t>Satisfaction and Discharge of Indenture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335"/>
        <w:spacing w:after="0" w:line="249" w:lineRule="auto"/>
        <w:rPr>
          <w:sz w:val="20"/>
          <w:szCs w:val="20"/>
          <w:color w:val="auto"/>
        </w:rPr>
      </w:pPr>
      <w:r>
        <w:rPr>
          <w:rFonts w:ascii="Times New Roman" w:cs="Times New Roman" w:eastAsia="Times New Roman" w:hAnsi="Times New Roman"/>
          <w:sz w:val="14"/>
          <w:szCs w:val="14"/>
          <w:color w:val="auto"/>
        </w:rPr>
        <w:t xml:space="preserve">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w:t>
      </w:r>
      <w:r>
        <w:rPr>
          <w:rFonts w:ascii="Times New Roman" w:cs="Times New Roman" w:eastAsia="Times New Roman" w:hAnsi="Times New Roman"/>
          <w:sz w:val="14"/>
          <w:szCs w:val="14"/>
          <w:u w:val="single" w:color="auto"/>
          <w:color w:val="auto"/>
        </w:rPr>
        <w:t>Section 2.07</w:t>
      </w:r>
      <w:r>
        <w:rPr>
          <w:rFonts w:ascii="Times New Roman" w:cs="Times New Roman" w:eastAsia="Times New Roman" w:hAnsi="Times New Roman"/>
          <w:sz w:val="14"/>
          <w:szCs w:val="14"/>
          <w:color w:val="auto"/>
        </w:rPr>
        <w:t xml:space="preserve"> and Securities for whose payment money or Governmental Obligations have theretofore been deposited in trust or segregated and held in trust by the Company and thereupon repaid to the Company or discharged from such trust, as provided in </w:t>
      </w:r>
      <w:r>
        <w:rPr>
          <w:rFonts w:ascii="Times New Roman" w:cs="Times New Roman" w:eastAsia="Times New Roman" w:hAnsi="Times New Roman"/>
          <w:sz w:val="14"/>
          <w:szCs w:val="14"/>
          <w:u w:val="single" w:color="auto"/>
          <w:color w:val="auto"/>
        </w:rPr>
        <w:t>Section 11.05</w:t>
      </w:r>
      <w:r>
        <w:rPr>
          <w:rFonts w:ascii="Times New Roman" w:cs="Times New Roman" w:eastAsia="Times New Roman" w:hAnsi="Times New Roman"/>
          <w:sz w:val="14"/>
          <w:szCs w:val="14"/>
          <w:color w:val="auto"/>
        </w:rPr>
        <w:t>); or</w:t>
      </w:r>
    </w:p>
    <w:p>
      <w:pPr>
        <w:ind w:left="320" w:right="339" w:hanging="1"/>
        <w:spacing w:after="0" w:line="265" w:lineRule="auto"/>
        <w:tabs>
          <w:tab w:leader="none" w:pos="514"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w:t>
      </w:r>
      <w:r>
        <w:rPr>
          <w:rFonts w:ascii="Times New Roman" w:cs="Times New Roman" w:eastAsia="Times New Roman" w:hAnsi="Times New Roman"/>
          <w:sz w:val="13"/>
          <w:szCs w:val="13"/>
          <w:u w:val="single" w:color="auto"/>
          <w:color w:val="auto"/>
        </w:rPr>
        <w:t>Sections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2.03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2.05</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2.07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4.01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4.02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4.03</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7.10</w:t>
      </w:r>
      <w:r>
        <w:rPr>
          <w:rFonts w:ascii="Times New Roman" w:cs="Times New Roman" w:eastAsia="Times New Roman" w:hAnsi="Times New Roman"/>
          <w:sz w:val="13"/>
          <w:szCs w:val="13"/>
          <w:color w:val="auto"/>
        </w:rPr>
        <w:t xml:space="preserve">, that shall survive until the date of maturity or redemption date, as the case may be, and </w:t>
      </w:r>
      <w:r>
        <w:rPr>
          <w:rFonts w:ascii="Times New Roman" w:cs="Times New Roman" w:eastAsia="Times New Roman" w:hAnsi="Times New Roman"/>
          <w:sz w:val="13"/>
          <w:szCs w:val="13"/>
          <w:u w:val="single" w:color="auto"/>
          <w:color w:val="auto"/>
        </w:rPr>
        <w:t>Sections 7.06</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11.05</w:t>
      </w:r>
      <w:r>
        <w:rPr>
          <w:rFonts w:ascii="Times New Roman" w:cs="Times New Roman" w:eastAsia="Times New Roman" w:hAnsi="Times New Roman"/>
          <w:sz w:val="13"/>
          <w:szCs w:val="13"/>
          <w:color w:val="auto"/>
        </w:rPr>
        <w:t>, that shall survive to such date and thereafter, and the Trustee, on demand of the Company and at the cost and expense of the Company shall execute such instruments reasonably requested by the Company acknowledging satisfaction of and discharging this Indenture with respect to such series.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11.02 </w:t>
      </w:r>
      <w:r>
        <w:rPr>
          <w:rFonts w:ascii="Times New Roman" w:cs="Times New Roman" w:eastAsia="Times New Roman" w:hAnsi="Times New Roman"/>
          <w:sz w:val="14"/>
          <w:szCs w:val="14"/>
          <w:u w:val="single" w:color="auto"/>
          <w:color w:val="auto"/>
        </w:rPr>
        <w:t>Discharge of Obligations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335"/>
        <w:spacing w:after="0" w:line="247" w:lineRule="auto"/>
        <w:rPr>
          <w:sz w:val="20"/>
          <w:szCs w:val="20"/>
          <w:color w:val="auto"/>
        </w:rPr>
      </w:pPr>
      <w:r>
        <w:rPr>
          <w:rFonts w:ascii="Times New Roman" w:cs="Times New Roman" w:eastAsia="Times New Roman" w:hAnsi="Times New Roman"/>
          <w:sz w:val="14"/>
          <w:szCs w:val="14"/>
          <w:color w:val="auto"/>
        </w:rPr>
        <w:t xml:space="preserve">If at any time all such Securities of a particular series not heretofore delivered to the Trustee for cancellation or that have not become due and payable as described in </w:t>
      </w:r>
      <w:r>
        <w:rPr>
          <w:rFonts w:ascii="Times New Roman" w:cs="Times New Roman" w:eastAsia="Times New Roman" w:hAnsi="Times New Roman"/>
          <w:sz w:val="14"/>
          <w:szCs w:val="14"/>
          <w:u w:val="single" w:color="auto"/>
          <w:color w:val="auto"/>
        </w:rPr>
        <w:t>Section 11.01</w:t>
      </w:r>
      <w:r>
        <w:rPr>
          <w:rFonts w:ascii="Times New Roman" w:cs="Times New Roman" w:eastAsia="Times New Roman" w:hAnsi="Times New Roman"/>
          <w:sz w:val="14"/>
          <w:szCs w:val="14"/>
          <w:color w:val="auto"/>
        </w:rPr>
        <w:t xml:space="preserve">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w:t>
      </w:r>
      <w:r>
        <w:rPr>
          <w:rFonts w:ascii="Times New Roman" w:cs="Times New Roman" w:eastAsia="Times New Roman" w:hAnsi="Times New Roman"/>
          <w:sz w:val="14"/>
          <w:szCs w:val="14"/>
          <w:u w:val="single" w:color="auto"/>
          <w:color w:val="auto"/>
        </w:rPr>
        <w:t>Sections 2.03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2.05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2.07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4.02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4.03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7.06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7.10</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11.05</w:t>
      </w:r>
      <w:r>
        <w:rPr>
          <w:rFonts w:ascii="Times New Roman" w:cs="Times New Roman" w:eastAsia="Times New Roman" w:hAnsi="Times New Roman"/>
          <w:sz w:val="14"/>
          <w:szCs w:val="14"/>
          <w:color w:val="auto"/>
        </w:rPr>
        <w:t xml:space="preserve"> hereof that shall survive until such Securities shall mature and be paid.</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Thereafter, </w:t>
      </w:r>
      <w:r>
        <w:rPr>
          <w:rFonts w:ascii="Times New Roman" w:cs="Times New Roman" w:eastAsia="Times New Roman" w:hAnsi="Times New Roman"/>
          <w:sz w:val="14"/>
          <w:szCs w:val="14"/>
          <w:u w:val="single" w:color="auto"/>
          <w:color w:val="auto"/>
        </w:rPr>
        <w:t>Sections 7.06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11.05</w:t>
      </w:r>
      <w:r>
        <w:rPr>
          <w:rFonts w:ascii="Times New Roman" w:cs="Times New Roman" w:eastAsia="Times New Roman" w:hAnsi="Times New Roman"/>
          <w:sz w:val="14"/>
          <w:szCs w:val="14"/>
          <w:color w:val="auto"/>
        </w:rPr>
        <w:t xml:space="preserve"> shall survive.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36" w:right="1440" w:bottom="1440" w:gutter="0" w:footer="0" w:header="0"/>
        </w:sectPr>
      </w:pPr>
    </w:p>
    <w:bookmarkStart w:id="84" w:name="page85"/>
    <w:bookmarkEnd w:id="84"/>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11.03 </w:t>
      </w:r>
      <w:r>
        <w:rPr>
          <w:rFonts w:ascii="Times New Roman" w:cs="Times New Roman" w:eastAsia="Times New Roman" w:hAnsi="Times New Roman"/>
          <w:sz w:val="14"/>
          <w:szCs w:val="14"/>
          <w:u w:val="single" w:color="auto"/>
          <w:color w:val="auto"/>
        </w:rPr>
        <w:t>Deposited Moneys to be Held in Trust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19" w:firstLine="335"/>
        <w:spacing w:after="0" w:line="284" w:lineRule="auto"/>
        <w:rPr>
          <w:sz w:val="20"/>
          <w:szCs w:val="20"/>
          <w:color w:val="auto"/>
        </w:rPr>
      </w:pPr>
      <w:r>
        <w:rPr>
          <w:rFonts w:ascii="Times New Roman" w:cs="Times New Roman" w:eastAsia="Times New Roman" w:hAnsi="Times New Roman"/>
          <w:sz w:val="13"/>
          <w:szCs w:val="13"/>
          <w:color w:val="auto"/>
        </w:rPr>
        <w:t xml:space="preserve">All moneys or Governmental Obligations deposited with the Trustee pursuant to </w:t>
      </w:r>
      <w:r>
        <w:rPr>
          <w:rFonts w:ascii="Times New Roman" w:cs="Times New Roman" w:eastAsia="Times New Roman" w:hAnsi="Times New Roman"/>
          <w:sz w:val="13"/>
          <w:szCs w:val="13"/>
          <w:u w:val="single" w:color="auto"/>
          <w:color w:val="auto"/>
        </w:rPr>
        <w:t>Sections 11.01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11.02</w:t>
      </w:r>
      <w:r>
        <w:rPr>
          <w:rFonts w:ascii="Times New Roman" w:cs="Times New Roman" w:eastAsia="Times New Roman" w:hAnsi="Times New Roman"/>
          <w:sz w:val="13"/>
          <w:szCs w:val="13"/>
          <w:color w:val="auto"/>
        </w:rPr>
        <w:t xml:space="preserve"> shall be held in trust and shall be available for payment as due, either directly or through any paying agent (including the Company acting as its own paying agent ), to the holders of the particular series of Securities for the payment or redemption of which such moneys or Governmental Obligations have been deposited with the Trustee.</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11.04 </w:t>
      </w:r>
      <w:r>
        <w:rPr>
          <w:rFonts w:ascii="Times New Roman" w:cs="Times New Roman" w:eastAsia="Times New Roman" w:hAnsi="Times New Roman"/>
          <w:sz w:val="14"/>
          <w:szCs w:val="14"/>
          <w:u w:val="single" w:color="auto"/>
          <w:color w:val="auto"/>
        </w:rPr>
        <w:t>Payment of Moneys Held by Paying Agents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left="320" w:right="459" w:firstLine="335"/>
        <w:spacing w:after="0" w:line="255" w:lineRule="auto"/>
        <w:rPr>
          <w:sz w:val="20"/>
          <w:szCs w:val="20"/>
          <w:color w:val="auto"/>
        </w:rPr>
      </w:pPr>
      <w:r>
        <w:rPr>
          <w:rFonts w:ascii="Times New Roman" w:cs="Times New Roman" w:eastAsia="Times New Roman" w:hAnsi="Times New Roman"/>
          <w:sz w:val="14"/>
          <w:szCs w:val="14"/>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11.05 </w:t>
      </w:r>
      <w:r>
        <w:rPr>
          <w:rFonts w:ascii="Times New Roman" w:cs="Times New Roman" w:eastAsia="Times New Roman" w:hAnsi="Times New Roman"/>
          <w:sz w:val="14"/>
          <w:szCs w:val="14"/>
          <w:u w:val="single" w:color="auto"/>
          <w:color w:val="auto"/>
        </w:rPr>
        <w:t>Repayment to Company</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39" w:firstLine="335"/>
        <w:spacing w:after="0" w:line="270" w:lineRule="auto"/>
        <w:rPr>
          <w:sz w:val="20"/>
          <w:szCs w:val="20"/>
          <w:color w:val="auto"/>
        </w:rPr>
      </w:pPr>
      <w:r>
        <w:rPr>
          <w:rFonts w:ascii="Times New Roman" w:cs="Times New Roman" w:eastAsia="Times New Roman" w:hAnsi="Times New Roman"/>
          <w:sz w:val="13"/>
          <w:szCs w:val="13"/>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12</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IMMUNITY OF INCORPORATORS, STOCKHOLDERS, OFFICERS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AND DIRECTORS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12.01 </w:t>
      </w:r>
      <w:r>
        <w:rPr>
          <w:rFonts w:ascii="Times New Roman" w:cs="Times New Roman" w:eastAsia="Times New Roman" w:hAnsi="Times New Roman"/>
          <w:sz w:val="14"/>
          <w:szCs w:val="14"/>
          <w:u w:val="single" w:color="auto"/>
          <w:color w:val="auto"/>
        </w:rPr>
        <w:t>No Recourse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rale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239" w:right="1440" w:bottom="1440" w:gutter="0" w:footer="0" w:header="0"/>
        </w:sectPr>
      </w:pPr>
    </w:p>
    <w:bookmarkStart w:id="85" w:name="page86"/>
    <w:bookmarkEnd w:id="85"/>
    <w:p>
      <w:pPr>
        <w:ind w:left="320" w:right="65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13</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MISCELLANEOUS PROVISIONS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13.01 </w:t>
      </w:r>
      <w:r>
        <w:rPr>
          <w:rFonts w:ascii="Times New Roman" w:cs="Times New Roman" w:eastAsia="Times New Roman" w:hAnsi="Times New Roman"/>
          <w:sz w:val="14"/>
          <w:szCs w:val="14"/>
          <w:u w:val="single" w:color="auto"/>
          <w:color w:val="auto"/>
        </w:rPr>
        <w:t>Effect on Successors and Assigns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639" w:firstLine="335"/>
        <w:spacing w:after="0" w:line="266" w:lineRule="auto"/>
        <w:rPr>
          <w:sz w:val="20"/>
          <w:szCs w:val="20"/>
          <w:color w:val="auto"/>
        </w:rPr>
      </w:pPr>
      <w:r>
        <w:rPr>
          <w:rFonts w:ascii="Times New Roman" w:cs="Times New Roman" w:eastAsia="Times New Roman" w:hAnsi="Times New Roman"/>
          <w:sz w:val="14"/>
          <w:szCs w:val="14"/>
          <w:color w:val="auto"/>
        </w:rPr>
        <w:t>All the covenants, stipulations, promises and agreements in this Indenture made by or on behalf of the Company shall bind its successors and assigns, whether so expressed or not.</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13.02 </w:t>
      </w:r>
      <w:r>
        <w:rPr>
          <w:rFonts w:ascii="Times New Roman" w:cs="Times New Roman" w:eastAsia="Times New Roman" w:hAnsi="Times New Roman"/>
          <w:sz w:val="14"/>
          <w:szCs w:val="14"/>
          <w:u w:val="single" w:color="auto"/>
          <w:color w:val="auto"/>
        </w:rPr>
        <w:t>Actions by Successor</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13.03 </w:t>
      </w:r>
      <w:r>
        <w:rPr>
          <w:rFonts w:ascii="Times New Roman" w:cs="Times New Roman" w:eastAsia="Times New Roman" w:hAnsi="Times New Roman"/>
          <w:sz w:val="14"/>
          <w:szCs w:val="14"/>
          <w:u w:val="single" w:color="auto"/>
          <w:color w:val="auto"/>
        </w:rPr>
        <w:t>Surrender of Company Powers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left="320" w:right="379" w:firstLine="335"/>
        <w:spacing w:after="0" w:line="305" w:lineRule="auto"/>
        <w:rPr>
          <w:sz w:val="20"/>
          <w:szCs w:val="20"/>
          <w:color w:val="auto"/>
        </w:rPr>
      </w:pPr>
      <w:r>
        <w:rPr>
          <w:rFonts w:ascii="Times New Roman" w:cs="Times New Roman" w:eastAsia="Times New Roman" w:hAnsi="Times New Roman"/>
          <w:sz w:val="13"/>
          <w:szCs w:val="13"/>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13.04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335"/>
        <w:spacing w:after="0" w:line="269" w:lineRule="auto"/>
        <w:rPr>
          <w:sz w:val="20"/>
          <w:szCs w:val="20"/>
          <w:color w:val="auto"/>
        </w:rPr>
      </w:pPr>
      <w:r>
        <w:rPr>
          <w:rFonts w:ascii="Times New Roman" w:cs="Times New Roman" w:eastAsia="Times New Roman" w:hAnsi="Times New Roman"/>
          <w:sz w:val="13"/>
          <w:szCs w:val="13"/>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any standard form of telecommunication or by being deposited in first class mail, postage prepaid, addressed (until another address is filed in writing by the Company with the Trustee), as follows: [ 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 Notwithstanding anything herein to the contrary, where reference herein is made to notice of any event (including notice of redemption) to a Securityholder of Global Securities, whether by mail or otherwise, such notice shall be sufficiently given when delivered to the Depositary (or its designee) pursuant to the customary procedures of the Depositary.</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240" w:right="1440" w:bottom="1440" w:gutter="0" w:footer="0" w:header="0"/>
        </w:sectPr>
      </w:pPr>
    </w:p>
    <w:bookmarkStart w:id="86" w:name="page87"/>
    <w:bookmarkEnd w:id="86"/>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13.05 </w:t>
      </w:r>
      <w:r>
        <w:rPr>
          <w:rFonts w:ascii="Times New Roman" w:cs="Times New Roman" w:eastAsia="Times New Roman" w:hAnsi="Times New Roman"/>
          <w:sz w:val="14"/>
          <w:szCs w:val="14"/>
          <w:u w:val="single" w:color="auto"/>
          <w:color w:val="auto"/>
        </w:rPr>
        <w:t>Governing Law: Jury Trial Waiver</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335"/>
        <w:spacing w:after="0" w:line="249" w:lineRule="auto"/>
        <w:rPr>
          <w:sz w:val="20"/>
          <w:szCs w:val="20"/>
          <w:color w:val="auto"/>
        </w:rPr>
      </w:pPr>
      <w:r>
        <w:rPr>
          <w:rFonts w:ascii="Times New Roman" w:cs="Times New Roman" w:eastAsia="Times New Roman" w:hAnsi="Times New Roman"/>
          <w:sz w:val="14"/>
          <w:szCs w:val="14"/>
          <w:color w:val="auto"/>
        </w:rPr>
        <w:t>THIS INDENTURE AND EACH SECURITY, AND ANY CLAIM, CONTROVERSY OR DISPUTE ARISING UNDER OR RELATED TO THIS INDENTURE AND EACH SECURITY, SHALL BE GOVERNED BY, AND CONSTRUED IN ACCORDANCE WITH, THE LAWS OF THE STATE OF NEW YORK (WITHOUT REGARD TO THE CONFLICTS OF LAWS PROVISIONS THEREOF). EACH OF THE COMPANY AND THE TRUSTEE HEREBY IRREVOCABLY WAIVES, TO THE FULLEST EXTENT PERMITTED BY APPLICABLE LAW, ANY AND ALL RIGHT TO TRIAL BY JURY IN ANY LEGAL PROCEEDING ARISING OUT OF OR RELATING TO THIS INDENTURE, THE SECURITIES OR THE TRANSACTION CONTEMPLATED HEREBY.</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13.06 </w:t>
      </w:r>
      <w:r>
        <w:rPr>
          <w:rFonts w:ascii="Times New Roman" w:cs="Times New Roman" w:eastAsia="Times New Roman" w:hAnsi="Times New Roman"/>
          <w:sz w:val="14"/>
          <w:szCs w:val="14"/>
          <w:u w:val="single" w:color="auto"/>
          <w:color w:val="auto"/>
        </w:rPr>
        <w:t>Treatment of Securities as Debt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335"/>
        <w:spacing w:after="0" w:line="266" w:lineRule="auto"/>
        <w:rPr>
          <w:sz w:val="20"/>
          <w:szCs w:val="20"/>
          <w:color w:val="auto"/>
        </w:rPr>
      </w:pPr>
      <w:r>
        <w:rPr>
          <w:rFonts w:ascii="Times New Roman" w:cs="Times New Roman" w:eastAsia="Times New Roman" w:hAnsi="Times New Roman"/>
          <w:sz w:val="14"/>
          <w:szCs w:val="14"/>
          <w:color w:val="auto"/>
        </w:rPr>
        <w:t>It is intended that the Securities will be treated as indebtedness and not as equity for federal income tax purposes. The provisions of this Indenture shall be interpreted to further this intention.</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13.07 </w:t>
      </w:r>
      <w:r>
        <w:rPr>
          <w:rFonts w:ascii="Times New Roman" w:cs="Times New Roman" w:eastAsia="Times New Roman" w:hAnsi="Times New Roman"/>
          <w:sz w:val="14"/>
          <w:szCs w:val="14"/>
          <w:u w:val="single" w:color="auto"/>
          <w:color w:val="auto"/>
        </w:rPr>
        <w:t>Certificates and Opinions as to Conditions Precedent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left="320" w:right="359" w:firstLine="752"/>
        <w:spacing w:after="0" w:line="252" w:lineRule="auto"/>
        <w:tabs>
          <w:tab w:leader="none" w:pos="1259"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Upon any application or demand by the Company to the Trustee to take any action under any of the provisions of this Indenture, the Company shall furnish to the Trustee an Officer’s Certificate stating that all covenants and conditions precedent provided for in this Indenture (other than the certificate to be delivered pursuant to </w:t>
      </w:r>
      <w:r>
        <w:rPr>
          <w:rFonts w:ascii="Times New Roman" w:cs="Times New Roman" w:eastAsia="Times New Roman" w:hAnsi="Times New Roman"/>
          <w:sz w:val="14"/>
          <w:szCs w:val="14"/>
          <w:u w:val="single" w:color="auto"/>
          <w:color w:val="auto"/>
        </w:rPr>
        <w:t>Section 13.12</w:t>
      </w:r>
      <w:r>
        <w:rPr>
          <w:rFonts w:ascii="Times New Roman" w:cs="Times New Roman" w:eastAsia="Times New Roman" w:hAnsi="Times New Roman"/>
          <w:sz w:val="14"/>
          <w:szCs w:val="14"/>
          <w:color w:val="auto"/>
        </w:rPr>
        <w:t>) relating to the proposed action have been complied with and an Opinion of Counsel stating that in the opinion of such counsel all such covenants and conditions precedent have been complied with.</w:t>
      </w:r>
    </w:p>
    <w:p>
      <w:pPr>
        <w:spacing w:after="0" w:line="144" w:lineRule="exact"/>
        <w:rPr>
          <w:rFonts w:ascii="Times New Roman" w:cs="Times New Roman" w:eastAsia="Times New Roman" w:hAnsi="Times New Roman"/>
          <w:sz w:val="14"/>
          <w:szCs w:val="14"/>
          <w:color w:val="auto"/>
        </w:rPr>
      </w:pPr>
    </w:p>
    <w:p>
      <w:pPr>
        <w:ind w:left="320" w:right="339" w:firstLine="752"/>
        <w:spacing w:after="0" w:line="249" w:lineRule="auto"/>
        <w:tabs>
          <w:tab w:leader="none" w:pos="1267"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13.08 </w:t>
      </w:r>
      <w:r>
        <w:rPr>
          <w:rFonts w:ascii="Times New Roman" w:cs="Times New Roman" w:eastAsia="Times New Roman" w:hAnsi="Times New Roman"/>
          <w:sz w:val="14"/>
          <w:szCs w:val="14"/>
          <w:u w:val="single" w:color="auto"/>
          <w:color w:val="auto"/>
        </w:rPr>
        <w:t>Payments on Business Days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 xml:space="preserve">Except as provided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pursuant to a Board Resolution, and set forth in an Officer’s Certificate, or established in one or more indentures supplemental to this Indenture, in any case where the date that principal of, interest and/or premium, if any, on any Security is due or otherwise payable shall not be a Business Day or is a day on which the banking institutions in the city of the office of the Paying Agent are authorized or obligated by law to close or be closed, then payment of principal, premium, if any, and/or interest may be made on the next succeeding day that is a Business Day and is not a day on which the banking institutions in the city of the office of the Paying Agent are authorized or obligated by law to close or be closed with the same force and effect as if made on the nominal date of maturity or redemption, and no interest shall accrue for the period after such nominal date.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019"/>
          </w:cols>
          <w:pgMar w:left="1440" w:top="240" w:right="1440" w:bottom="1440"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13.09 </w:t>
      </w:r>
      <w:r>
        <w:rPr>
          <w:rFonts w:ascii="Times New Roman" w:cs="Times New Roman" w:eastAsia="Times New Roman" w:hAnsi="Times New Roman"/>
          <w:sz w:val="14"/>
          <w:szCs w:val="14"/>
          <w:u w:val="single" w:color="auto"/>
          <w:color w:val="auto"/>
        </w:rPr>
        <w:t>Conflict with Trust Indenture Act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59" w:firstLine="335"/>
        <w:spacing w:after="0" w:line="266" w:lineRule="auto"/>
        <w:rPr>
          <w:sz w:val="20"/>
          <w:szCs w:val="20"/>
          <w:color w:val="auto"/>
        </w:rPr>
      </w:pPr>
      <w:r>
        <w:rPr>
          <w:rFonts w:ascii="Times New Roman" w:cs="Times New Roman" w:eastAsia="Times New Roman" w:hAnsi="Times New Roman"/>
          <w:sz w:val="14"/>
          <w:szCs w:val="14"/>
          <w:color w:val="auto"/>
        </w:rPr>
        <w:t>If and to the extent that any provision of this Indenture limits, qualifies or conflicts with the duties imposed by Sections 310 to 317, inclusive, of the Trust Indenture Act, such imposed duties shall control.</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13.10 </w:t>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335"/>
        <w:spacing w:after="0" w:line="252" w:lineRule="auto"/>
        <w:rPr>
          <w:sz w:val="20"/>
          <w:szCs w:val="20"/>
          <w:color w:val="auto"/>
        </w:rPr>
      </w:pPr>
      <w:r>
        <w:rPr>
          <w:rFonts w:ascii="Times New Roman" w:cs="Times New Roman" w:eastAsia="Times New Roman" w:hAnsi="Times New Roman"/>
          <w:sz w:val="14"/>
          <w:szCs w:val="14"/>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13.11 </w:t>
      </w:r>
      <w:r>
        <w:rPr>
          <w:rFonts w:ascii="Times New Roman" w:cs="Times New Roman" w:eastAsia="Times New Roman" w:hAnsi="Times New Roman"/>
          <w:sz w:val="14"/>
          <w:szCs w:val="14"/>
          <w:u w:val="single" w:color="auto"/>
          <w:color w:val="auto"/>
        </w:rPr>
        <w:t>Separability</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left="320" w:right="519" w:firstLine="335"/>
        <w:spacing w:after="0" w:line="252" w:lineRule="auto"/>
        <w:rPr>
          <w:sz w:val="20"/>
          <w:szCs w:val="20"/>
          <w:color w:val="auto"/>
        </w:rPr>
      </w:pPr>
      <w:r>
        <w:rPr>
          <w:rFonts w:ascii="Times New Roman" w:cs="Times New Roman" w:eastAsia="Times New Roman" w:hAnsi="Times New Roman"/>
          <w:sz w:val="14"/>
          <w:szCs w:val="14"/>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13.12 </w:t>
      </w:r>
      <w:r>
        <w:rPr>
          <w:rFonts w:ascii="Times New Roman" w:cs="Times New Roman" w:eastAsia="Times New Roman" w:hAnsi="Times New Roman"/>
          <w:sz w:val="14"/>
          <w:szCs w:val="14"/>
          <w:u w:val="single" w:color="auto"/>
          <w:color w:val="auto"/>
        </w:rPr>
        <w:t>Compliance Certificates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335"/>
        <w:spacing w:after="0" w:line="248" w:lineRule="auto"/>
        <w:rPr>
          <w:sz w:val="20"/>
          <w:szCs w:val="20"/>
          <w:color w:val="auto"/>
        </w:rPr>
      </w:pPr>
      <w:r>
        <w:rPr>
          <w:rFonts w:ascii="Times New Roman" w:cs="Times New Roman" w:eastAsia="Times New Roman" w:hAnsi="Times New Roman"/>
          <w:sz w:val="14"/>
          <w:szCs w:val="14"/>
          <w:color w:val="auto"/>
        </w:rPr>
        <w:t xml:space="preserve">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w:t>
      </w:r>
      <w:r>
        <w:rPr>
          <w:rFonts w:ascii="Times New Roman" w:cs="Times New Roman" w:eastAsia="Times New Roman" w:hAnsi="Times New Roman"/>
          <w:sz w:val="14"/>
          <w:szCs w:val="14"/>
          <w:u w:val="single" w:color="auto"/>
          <w:color w:val="auto"/>
        </w:rPr>
        <w:t>Section 13.12</w:t>
      </w:r>
      <w:r>
        <w:rPr>
          <w:rFonts w:ascii="Times New Roman" w:cs="Times New Roman" w:eastAsia="Times New Roman" w:hAnsi="Times New Roman"/>
          <w:sz w:val="14"/>
          <w:szCs w:val="14"/>
          <w:color w:val="auto"/>
        </w:rPr>
        <w:t>,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13.13 </w:t>
      </w:r>
      <w:r>
        <w:rPr>
          <w:rFonts w:ascii="Times New Roman" w:cs="Times New Roman" w:eastAsia="Times New Roman" w:hAnsi="Times New Roman"/>
          <w:sz w:val="14"/>
          <w:szCs w:val="14"/>
          <w:u w:val="single" w:color="auto"/>
          <w:color w:val="auto"/>
        </w:rPr>
        <w:t>USA PATRIOT ACT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240" w:right="1440"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13.14 </w:t>
      </w:r>
      <w:r>
        <w:rPr>
          <w:rFonts w:ascii="Times New Roman" w:cs="Times New Roman" w:eastAsia="Times New Roman" w:hAnsi="Times New Roman"/>
          <w:sz w:val="14"/>
          <w:szCs w:val="14"/>
          <w:u w:val="single" w:color="auto"/>
          <w:color w:val="auto"/>
        </w:rPr>
        <w:t>Calculations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939" w:firstLine="335"/>
        <w:spacing w:after="0" w:line="266" w:lineRule="auto"/>
        <w:rPr>
          <w:sz w:val="20"/>
          <w:szCs w:val="20"/>
          <w:color w:val="auto"/>
        </w:rPr>
      </w:pPr>
      <w:r>
        <w:rPr>
          <w:rFonts w:ascii="Times New Roman" w:cs="Times New Roman" w:eastAsia="Times New Roman" w:hAnsi="Times New Roman"/>
          <w:sz w:val="14"/>
          <w:szCs w:val="14"/>
          <w:color w:val="auto"/>
        </w:rPr>
        <w:t>It is understood that the Trustee nor the Paying Agent shall have no responsibility for any calculations hereunder and shall be entitled to conclusively rely on the calculations of the Company without any independent verification or investigation.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019"/>
          </w:cols>
          <w:pgMar w:left="1440" w:top="240" w:right="1440"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 WITNESS WHEREOF</w:t>
      </w:r>
      <w:r>
        <w:rPr>
          <w:rFonts w:ascii="Times New Roman" w:cs="Times New Roman" w:eastAsia="Times New Roman" w:hAnsi="Times New Roman"/>
          <w:sz w:val="13"/>
          <w:szCs w:val="13"/>
          <w:color w:val="auto"/>
        </w:rPr>
        <w:t>, the parties hereto have caused this Indenture to be duly executed all as of the day and year first above written.</w:t>
      </w:r>
    </w:p>
    <w:p>
      <w:pPr>
        <w:spacing w:after="0" w:line="19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Q32 BIO INC</w:t>
      </w:r>
      <w:r>
        <w:rPr>
          <w:rFonts w:ascii="Times New Roman" w:cs="Times New Roman" w:eastAsia="Times New Roman" w:hAnsi="Times New Roman"/>
          <w:sz w:val="14"/>
          <w:szCs w:val="14"/>
          <w:color w:val="auto"/>
        </w:rPr>
        <w:t>., as Issuer</w:t>
      </w:r>
    </w:p>
    <w:p>
      <w:pPr>
        <w:spacing w:after="0" w:line="17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By:</w:t>
      </w:r>
    </w:p>
    <w:p>
      <w:pPr>
        <w:spacing w:after="0" w:line="1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-100965</wp:posOffset>
            </wp:positionV>
            <wp:extent cx="186944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1869440" cy="6350"/>
                    </a:xfrm>
                    <a:prstGeom prst="rect">
                      <a:avLst/>
                    </a:prstGeom>
                    <a:noFill/>
                  </pic:spPr>
                </pic:pic>
              </a:graphicData>
            </a:graphic>
          </wp:anchor>
        </w:drawing>
      </w:r>
    </w:p>
    <w:p>
      <w:pPr>
        <w:ind w:left="534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15875</wp:posOffset>
            </wp:positionV>
            <wp:extent cx="186944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1869440" cy="635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-94615</wp:posOffset>
            </wp:positionV>
            <wp:extent cx="186944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1869440" cy="6350"/>
                    </a:xfrm>
                    <a:prstGeom prst="rect">
                      <a:avLst/>
                    </a:prstGeom>
                    <a:noFill/>
                  </pic:spPr>
                </pic:pic>
              </a:graphicData>
            </a:graphic>
          </wp:anchor>
        </w:drawing>
      </w:r>
    </w:p>
    <w:p>
      <w:pPr>
        <w:spacing w:after="0" w:line="15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[TRUSTEE]</w:t>
      </w:r>
      <w:r>
        <w:rPr>
          <w:rFonts w:ascii="Times New Roman" w:cs="Times New Roman" w:eastAsia="Times New Roman" w:hAnsi="Times New Roman"/>
          <w:sz w:val="14"/>
          <w:szCs w:val="14"/>
          <w:color w:val="auto"/>
        </w:rPr>
        <w:t>, as Trustee</w:t>
      </w:r>
    </w:p>
    <w:p>
      <w:pPr>
        <w:spacing w:after="0" w:line="17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By:</w:t>
      </w:r>
    </w:p>
    <w:p>
      <w:pPr>
        <w:spacing w:after="0" w:line="1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-100965</wp:posOffset>
            </wp:positionV>
            <wp:extent cx="186944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1869440" cy="6350"/>
                    </a:xfrm>
                    <a:prstGeom prst="rect">
                      <a:avLst/>
                    </a:prstGeom>
                    <a:noFill/>
                  </pic:spPr>
                </pic:pic>
              </a:graphicData>
            </a:graphic>
          </wp:anchor>
        </w:drawing>
      </w:r>
    </w:p>
    <w:p>
      <w:pPr>
        <w:ind w:left="534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15875</wp:posOffset>
            </wp:positionV>
            <wp:extent cx="186944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1869440" cy="635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-94615</wp:posOffset>
            </wp:positionV>
            <wp:extent cx="186944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1869440" cy="6350"/>
                    </a:xfrm>
                    <a:prstGeom prst="rect">
                      <a:avLst/>
                    </a:prstGeom>
                    <a:noFill/>
                  </pic:spPr>
                </pic:pic>
              </a:graphicData>
            </a:graphic>
          </wp:anchor>
        </w:drawing>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to Form of Indenture</w:t>
      </w:r>
    </w:p>
    <w:p>
      <w:pPr>
        <w:sectPr>
          <w:pgSz w:w="11900" w:h="16838" w:orient="portrait"/>
          <w:cols w:equalWidth="0" w:num="1">
            <w:col w:w="9019"/>
          </w:cols>
          <w:pgMar w:left="1440" w:top="236" w:right="1440" w:bottom="1440" w:gutter="0" w:footer="0" w:header="0"/>
        </w:sectPr>
      </w:pPr>
    </w:p>
    <w:bookmarkStart w:id="90" w:name="page91"/>
    <w:bookmarkEnd w:id="90"/>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TRUST INDENTURE ACT CROSS-REFERENCE TABLE</w:t>
      </w:r>
      <w:r>
        <w:rPr>
          <w:rFonts w:ascii="Times New Roman" w:cs="Times New Roman" w:eastAsia="Times New Roman" w:hAnsi="Times New Roman"/>
          <w:sz w:val="20"/>
          <w:szCs w:val="20"/>
          <w:b w:val="1"/>
          <w:bCs w:val="1"/>
          <w:color w:val="auto"/>
          <w:vertAlign w:val="superscript"/>
        </w:rPr>
        <w:t>2</w:t>
      </w:r>
    </w:p>
    <w:p>
      <w:pPr>
        <w:spacing w:after="0" w:line="103"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24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8"/>
              </w:rPr>
              <w:t>Section of Trust Indenture Act of 1939, as amended</w:t>
            </w:r>
          </w:p>
        </w:tc>
        <w:tc>
          <w:tcPr>
            <w:tcW w:w="4480" w:type="dxa"/>
            <w:vAlign w:val="bottom"/>
          </w:tcPr>
          <w:p>
            <w:pPr>
              <w:spacing w:after="0"/>
              <w:rPr>
                <w:sz w:val="11"/>
                <w:szCs w:val="11"/>
                <w:color w:val="auto"/>
              </w:rPr>
            </w:pPr>
          </w:p>
        </w:tc>
        <w:tc>
          <w:tcPr>
            <w:tcW w:w="1480" w:type="dxa"/>
            <w:vAlign w:val="bottom"/>
          </w:tcPr>
          <w:p>
            <w:pPr>
              <w:ind w:left="520"/>
              <w:spacing w:after="0"/>
              <w:rPr>
                <w:sz w:val="20"/>
                <w:szCs w:val="20"/>
                <w:color w:val="auto"/>
              </w:rPr>
            </w:pPr>
            <w:r>
              <w:rPr>
                <w:rFonts w:ascii="Times New Roman" w:cs="Times New Roman" w:eastAsia="Times New Roman" w:hAnsi="Times New Roman"/>
                <w:sz w:val="11"/>
                <w:szCs w:val="11"/>
                <w:b w:val="1"/>
                <w:bCs w:val="1"/>
                <w:color w:val="auto"/>
              </w:rPr>
              <w:t>Section of</w:t>
            </w:r>
          </w:p>
        </w:tc>
        <w:tc>
          <w:tcPr>
            <w:tcW w:w="0" w:type="dxa"/>
            <w:vAlign w:val="bottom"/>
          </w:tcPr>
          <w:p>
            <w:pPr>
              <w:spacing w:after="0"/>
              <w:rPr>
                <w:sz w:val="1"/>
                <w:szCs w:val="1"/>
                <w:color w:val="auto"/>
              </w:rPr>
            </w:pPr>
          </w:p>
        </w:tc>
      </w:tr>
      <w:tr>
        <w:trPr>
          <w:trHeight w:val="152"/>
        </w:trPr>
        <w:tc>
          <w:tcPr>
            <w:tcW w:w="2400" w:type="dxa"/>
            <w:vAlign w:val="bottom"/>
            <w:tcBorders>
              <w:bottom w:val="single" w:sz="8" w:color="auto"/>
            </w:tcBorders>
            <w:vMerge w:val="continue"/>
          </w:tcPr>
          <w:p>
            <w:pPr>
              <w:spacing w:after="0"/>
              <w:rPr>
                <w:sz w:val="13"/>
                <w:szCs w:val="13"/>
                <w:color w:val="auto"/>
              </w:rPr>
            </w:pPr>
          </w:p>
        </w:tc>
        <w:tc>
          <w:tcPr>
            <w:tcW w:w="4480" w:type="dxa"/>
            <w:vAlign w:val="bottom"/>
          </w:tcPr>
          <w:p>
            <w:pPr>
              <w:spacing w:after="0"/>
              <w:rPr>
                <w:sz w:val="13"/>
                <w:szCs w:val="13"/>
                <w:color w:val="auto"/>
              </w:rPr>
            </w:pPr>
          </w:p>
        </w:tc>
        <w:tc>
          <w:tcPr>
            <w:tcW w:w="14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1"/>
                <w:szCs w:val="11"/>
                <w:b w:val="1"/>
                <w:bCs w:val="1"/>
                <w:color w:val="auto"/>
              </w:rPr>
              <w:t>Indenture</w:t>
            </w:r>
          </w:p>
        </w:tc>
        <w:tc>
          <w:tcPr>
            <w:tcW w:w="0" w:type="dxa"/>
            <w:vAlign w:val="bottom"/>
          </w:tcPr>
          <w:p>
            <w:pPr>
              <w:spacing w:after="0"/>
              <w:rPr>
                <w:sz w:val="1"/>
                <w:szCs w:val="1"/>
                <w:color w:val="auto"/>
              </w:rPr>
            </w:pPr>
          </w:p>
        </w:tc>
      </w:tr>
      <w:tr>
        <w:trPr>
          <w:trHeight w:val="132"/>
        </w:trPr>
        <w:tc>
          <w:tcPr>
            <w:tcW w:w="240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310(a)</w:t>
            </w:r>
          </w:p>
        </w:tc>
        <w:tc>
          <w:tcPr>
            <w:tcW w:w="4480" w:type="dxa"/>
            <w:vAlign w:val="bottom"/>
          </w:tcPr>
          <w:p>
            <w:pPr>
              <w:spacing w:after="0"/>
              <w:rPr>
                <w:sz w:val="11"/>
                <w:szCs w:val="11"/>
                <w:color w:val="auto"/>
              </w:rPr>
            </w:pPr>
          </w:p>
        </w:tc>
        <w:tc>
          <w:tcPr>
            <w:tcW w:w="148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7.09</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310(b)</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7.08</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14"/>
                <w:szCs w:val="14"/>
                <w:color w:val="auto"/>
              </w:rPr>
            </w:pP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7.10</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310(c)</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Inapplicable</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311(a)</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7.13</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311(b)</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7.13</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311(c)</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Inapplicable</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312(a)</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14"/>
                <w:szCs w:val="14"/>
                <w:color w:val="auto"/>
              </w:rPr>
            </w:pP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5.02(a)</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312(b)</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5.02(c)</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312(c)</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5.02(c)</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313(a)</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5.04(a)</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313(b)</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5.04(b)</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313(c)</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5.04(a)</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14"/>
                <w:szCs w:val="14"/>
                <w:color w:val="auto"/>
              </w:rPr>
            </w:pP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5.04(b)</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313(d)</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5.04(c)</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314(a)</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5.03</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14"/>
                <w:szCs w:val="14"/>
                <w:color w:val="auto"/>
              </w:rPr>
            </w:pP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13.12</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314(b)</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Inapplicable</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314(c)</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13.07(a)</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314(d)</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Inapplicable</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314(e)</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13.07(b)</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314(f)</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Inapplicable</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315(a)</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7.01(a)</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14"/>
                <w:szCs w:val="14"/>
                <w:color w:val="auto"/>
              </w:rPr>
            </w:pP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7.01(b)</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315(b)</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7.14</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315(c)</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7.01(a)</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315(d)</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7.01(b)</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315(e)</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316(a)</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14"/>
                <w:szCs w:val="14"/>
                <w:color w:val="auto"/>
              </w:rPr>
            </w:pP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8.04</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316(b)</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6.04</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316(c)</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8.01</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317(a)</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317(b)</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176"/>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318(a)</w:t>
            </w:r>
          </w:p>
        </w:tc>
        <w:tc>
          <w:tcPr>
            <w:tcW w:w="5960" w:type="dxa"/>
            <w:vAlign w:val="bottom"/>
            <w:gridSpan w:val="2"/>
          </w:tcPr>
          <w:p>
            <w:pPr>
              <w:ind w:left="4480"/>
              <w:spacing w:after="0"/>
              <w:rPr>
                <w:sz w:val="20"/>
                <w:szCs w:val="20"/>
                <w:color w:val="auto"/>
              </w:rPr>
            </w:pPr>
            <w:r>
              <w:rPr>
                <w:rFonts w:ascii="Times New Roman" w:cs="Times New Roman" w:eastAsia="Times New Roman" w:hAnsi="Times New Roman"/>
                <w:sz w:val="14"/>
                <w:szCs w:val="14"/>
                <w:color w:val="auto"/>
              </w:rPr>
              <w:t>13.09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72390</wp:posOffset>
            </wp:positionV>
            <wp:extent cx="58610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586105" cy="6350"/>
                    </a:xfrm>
                    <a:prstGeom prst="rect">
                      <a:avLst/>
                    </a:prstGeom>
                    <a:noFill/>
                  </pic:spPr>
                </pic:pic>
              </a:graphicData>
            </a:graphic>
          </wp:anchor>
        </w:drawing>
      </w:r>
    </w:p>
    <w:p>
      <w:pPr>
        <w:spacing w:after="0" w:line="112" w:lineRule="exact"/>
        <w:rPr>
          <w:sz w:val="20"/>
          <w:szCs w:val="20"/>
          <w:color w:val="auto"/>
        </w:rPr>
      </w:pPr>
    </w:p>
    <w:p>
      <w:pPr>
        <w:ind w:left="640" w:right="619" w:hanging="321"/>
        <w:spacing w:after="0" w:line="202" w:lineRule="auto"/>
        <w:tabs>
          <w:tab w:leader="none" w:pos="640" w:val="left"/>
        </w:tabs>
        <w:numPr>
          <w:ilvl w:val="0"/>
          <w:numId w:val="7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This Cross-Reference Table does not constitute part of the Indenture and shall not have any bearing on the interpretation of any of its terms or provisions.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235" w:right="1440" w:bottom="1440" w:gutter="0" w:footer="0" w:header="0"/>
        </w:sectPr>
      </w:pPr>
    </w:p>
    <w:bookmarkStart w:id="91" w:name="page92"/>
    <w:bookmarkEnd w:id="91"/>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Exhibit 4.3</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Q32 BIO INC.,</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Issuer</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136525</wp:posOffset>
            </wp:positionV>
            <wp:extent cx="531558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5315585" cy="6350"/>
                    </a:xfrm>
                    <a:prstGeom prst="rect">
                      <a:avLst/>
                    </a:prstGeom>
                    <a:noFill/>
                  </pic:spPr>
                </pic:pic>
              </a:graphicData>
            </a:graphic>
          </wp:anchor>
        </w:drawing>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Dated as of [•],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142875</wp:posOffset>
            </wp:positionV>
            <wp:extent cx="531558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5315585" cy="6350"/>
                    </a:xfrm>
                    <a:prstGeom prst="rect">
                      <a:avLst/>
                    </a:prstGeom>
                    <a:noFill/>
                  </pic:spPr>
                </pic:pic>
              </a:graphicData>
            </a:graphic>
          </wp:anchor>
        </w:drawing>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Subordinated Debt Securities</w:t>
      </w:r>
    </w:p>
    <w:p>
      <w:pPr>
        <w:sectPr>
          <w:pgSz w:w="11900" w:h="16838" w:orient="portrait"/>
          <w:cols w:equalWidth="0" w:num="1">
            <w:col w:w="9019"/>
          </w:cols>
          <w:pgMar w:left="1440" w:top="123" w:right="1440"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r>
        <w:rPr>
          <w:rFonts w:ascii="Times New Roman" w:cs="Times New Roman" w:eastAsia="Times New Roman" w:hAnsi="Times New Roman"/>
          <w:sz w:val="20"/>
          <w:szCs w:val="20"/>
          <w:b w:val="1"/>
          <w:bCs w:val="1"/>
          <w:color w:val="auto"/>
          <w:vertAlign w:val="superscript"/>
        </w:rPr>
        <w:t>1</w:t>
      </w:r>
    </w:p>
    <w:p>
      <w:pPr>
        <w:spacing w:after="0" w:line="116" w:lineRule="exact"/>
        <w:rPr>
          <w:sz w:val="20"/>
          <w:szCs w:val="20"/>
          <w:color w:val="auto"/>
        </w:rPr>
      </w:pPr>
    </w:p>
    <w:tbl>
      <w:tblPr>
        <w:tblLayout w:type="fixed"/>
        <w:tblInd w:w="320" w:type="dxa"/>
        <w:tblCellMar>
          <w:top w:w="0" w:type="dxa"/>
          <w:left w:w="0" w:type="dxa"/>
          <w:bottom w:w="0" w:type="dxa"/>
          <w:right w:w="0" w:type="dxa"/>
        </w:tblCellMar>
      </w:tblPr>
      <w:tr>
        <w:trPr>
          <w:trHeight w:val="143"/>
        </w:trPr>
        <w:tc>
          <w:tcPr>
            <w:tcW w:w="11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34"/>
        </w:trPr>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1 DEFINITIONS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1.01</w:t>
            </w:r>
          </w:p>
        </w:tc>
        <w:tc>
          <w:tcPr>
            <w:tcW w:w="6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Definitions of Terms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46"/>
        </w:trPr>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2 ISSUE, DESCRIPTION, TERMS, EXECUTION, REGISTRATION AND EXCHANGE OF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2.01</w:t>
            </w:r>
          </w:p>
        </w:tc>
        <w:tc>
          <w:tcPr>
            <w:tcW w:w="6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Designation and Terms of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2.02</w:t>
            </w:r>
          </w:p>
        </w:tc>
        <w:tc>
          <w:tcPr>
            <w:tcW w:w="6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Form of Securities and Trustee’s Certificate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2.03</w:t>
            </w:r>
          </w:p>
        </w:tc>
        <w:tc>
          <w:tcPr>
            <w:tcW w:w="6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Denominations; Provisions for Payment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2.04</w:t>
            </w:r>
          </w:p>
        </w:tc>
        <w:tc>
          <w:tcPr>
            <w:tcW w:w="6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Execution and Authentications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2.05</w:t>
            </w:r>
          </w:p>
        </w:tc>
        <w:tc>
          <w:tcPr>
            <w:tcW w:w="6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Registration of Transfer and Exchange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2.06</w:t>
            </w:r>
          </w:p>
        </w:tc>
        <w:tc>
          <w:tcPr>
            <w:tcW w:w="6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Temporary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2.07</w:t>
            </w:r>
          </w:p>
        </w:tc>
        <w:tc>
          <w:tcPr>
            <w:tcW w:w="6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Mutilated, Destroyed, Lost or Stolen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2.08</w:t>
            </w:r>
          </w:p>
        </w:tc>
        <w:tc>
          <w:tcPr>
            <w:tcW w:w="6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Cancellation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2.09</w:t>
            </w:r>
          </w:p>
        </w:tc>
        <w:tc>
          <w:tcPr>
            <w:tcW w:w="6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Benefits of Indenture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2.10</w:t>
            </w:r>
          </w:p>
        </w:tc>
        <w:tc>
          <w:tcPr>
            <w:tcW w:w="6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Authenticating Agent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2.11</w:t>
            </w:r>
          </w:p>
        </w:tc>
        <w:tc>
          <w:tcPr>
            <w:tcW w:w="6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Global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46"/>
        </w:trPr>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3 REDEMPTION OF SECURITIES AND SINKING FUND PROVISIONS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3.01</w:t>
            </w:r>
          </w:p>
        </w:tc>
        <w:tc>
          <w:tcPr>
            <w:tcW w:w="6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Redemption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3.02</w:t>
            </w:r>
          </w:p>
        </w:tc>
        <w:tc>
          <w:tcPr>
            <w:tcW w:w="6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Notice of Redemption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3.03</w:t>
            </w:r>
          </w:p>
        </w:tc>
        <w:tc>
          <w:tcPr>
            <w:tcW w:w="6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 Upon Redemption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3.04</w:t>
            </w:r>
          </w:p>
        </w:tc>
        <w:tc>
          <w:tcPr>
            <w:tcW w:w="6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Sinking Fund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3.05</w:t>
            </w:r>
          </w:p>
        </w:tc>
        <w:tc>
          <w:tcPr>
            <w:tcW w:w="6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Satisfaction of Sinking Fund Payments with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3.06</w:t>
            </w:r>
          </w:p>
        </w:tc>
        <w:tc>
          <w:tcPr>
            <w:tcW w:w="6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Redemption of Securities for Sinking Fund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46"/>
        </w:trPr>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4 COVENANTS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4.01</w:t>
            </w:r>
          </w:p>
        </w:tc>
        <w:tc>
          <w:tcPr>
            <w:tcW w:w="6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 of Principal, Premium and Interest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4.02</w:t>
            </w:r>
          </w:p>
        </w:tc>
        <w:tc>
          <w:tcPr>
            <w:tcW w:w="6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Maintenance of Office or Agency</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4.03</w:t>
            </w:r>
          </w:p>
        </w:tc>
        <w:tc>
          <w:tcPr>
            <w:tcW w:w="6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Paying Agents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4.04</w:t>
            </w:r>
          </w:p>
        </w:tc>
        <w:tc>
          <w:tcPr>
            <w:tcW w:w="6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Appointment to Fill Vacancy in Office of Trustee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4.05</w:t>
            </w:r>
          </w:p>
        </w:tc>
        <w:tc>
          <w:tcPr>
            <w:tcW w:w="6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Compliance with Consolidation Provisions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72390</wp:posOffset>
            </wp:positionV>
            <wp:extent cx="58610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586105" cy="6350"/>
                    </a:xfrm>
                    <a:prstGeom prst="rect">
                      <a:avLst/>
                    </a:prstGeom>
                    <a:noFill/>
                  </pic:spPr>
                </pic:pic>
              </a:graphicData>
            </a:graphic>
          </wp:anchor>
        </w:drawing>
      </w:r>
    </w:p>
    <w:p>
      <w:pPr>
        <w:spacing w:after="0" w:line="112" w:lineRule="exact"/>
        <w:rPr>
          <w:sz w:val="20"/>
          <w:szCs w:val="20"/>
          <w:color w:val="auto"/>
        </w:rPr>
      </w:pPr>
    </w:p>
    <w:p>
      <w:pPr>
        <w:ind w:left="640" w:right="899" w:hanging="321"/>
        <w:spacing w:after="0" w:line="202" w:lineRule="auto"/>
        <w:tabs>
          <w:tab w:leader="none" w:pos="640" w:val="left"/>
        </w:tabs>
        <w:numPr>
          <w:ilvl w:val="0"/>
          <w:numId w:val="7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This Table of Contents does not constitute part of the Indenture and shall not have any bearing on the interpretation of any of its terms or provisions.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35" w:right="1440"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(continued)</w:t>
      </w:r>
    </w:p>
    <w:p>
      <w:pPr>
        <w:spacing w:after="0" w:line="98" w:lineRule="exact"/>
        <w:rPr>
          <w:sz w:val="20"/>
          <w:szCs w:val="20"/>
          <w:color w:val="auto"/>
        </w:rPr>
      </w:pPr>
    </w:p>
    <w:tbl>
      <w:tblPr>
        <w:tblLayout w:type="fixed"/>
        <w:tblInd w:w="320" w:type="dxa"/>
        <w:tblCellMar>
          <w:top w:w="0" w:type="dxa"/>
          <w:left w:w="0" w:type="dxa"/>
          <w:bottom w:w="0" w:type="dxa"/>
          <w:right w:w="0" w:type="dxa"/>
        </w:tblCellMar>
      </w:tblPr>
      <w:tr>
        <w:trPr>
          <w:trHeight w:val="143"/>
        </w:trPr>
        <w:tc>
          <w:tcPr>
            <w:tcW w:w="11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34"/>
        </w:trPr>
        <w:tc>
          <w:tcPr>
            <w:tcW w:w="7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5 SECURITYHOLDERS’ LISTS AND REPORTS BY THE COMPANY AND THE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5.01</w:t>
            </w:r>
          </w:p>
        </w:tc>
        <w:tc>
          <w:tcPr>
            <w:tcW w:w="6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Company to Furnish Trustee Names and Addresses of Securityholders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5.02</w:t>
            </w:r>
          </w:p>
        </w:tc>
        <w:tc>
          <w:tcPr>
            <w:tcW w:w="6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Preservation Of Information; Communications With Securityholders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5.03</w:t>
            </w:r>
          </w:p>
        </w:tc>
        <w:tc>
          <w:tcPr>
            <w:tcW w:w="6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Reports by the Company</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5.04</w:t>
            </w:r>
          </w:p>
        </w:tc>
        <w:tc>
          <w:tcPr>
            <w:tcW w:w="6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Reports by the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46"/>
        </w:trPr>
        <w:tc>
          <w:tcPr>
            <w:tcW w:w="7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6 REMEDIES OF THE TRUSTEE AND SECURITYHOLDERS ON EVENT OF DEFAULT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6.01</w:t>
            </w:r>
          </w:p>
        </w:tc>
        <w:tc>
          <w:tcPr>
            <w:tcW w:w="6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Events of Default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6.02</w:t>
            </w:r>
          </w:p>
        </w:tc>
        <w:tc>
          <w:tcPr>
            <w:tcW w:w="6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Collection of Indebtedness and Suits for Enforcement by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6.03</w:t>
            </w:r>
          </w:p>
        </w:tc>
        <w:tc>
          <w:tcPr>
            <w:tcW w:w="6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Application of Moneys Collected</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6.04</w:t>
            </w:r>
          </w:p>
        </w:tc>
        <w:tc>
          <w:tcPr>
            <w:tcW w:w="6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Limitation on Suits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6.05</w:t>
            </w:r>
          </w:p>
        </w:tc>
        <w:tc>
          <w:tcPr>
            <w:tcW w:w="6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Rights and Remedies Cumulative; Delay or Omission Not Waiver</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6.06</w:t>
            </w:r>
          </w:p>
        </w:tc>
        <w:tc>
          <w:tcPr>
            <w:tcW w:w="6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Control by Securityholders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6.07</w:t>
            </w:r>
          </w:p>
        </w:tc>
        <w:tc>
          <w:tcPr>
            <w:tcW w:w="6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Undertaking to Pay Costs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46"/>
        </w:trPr>
        <w:tc>
          <w:tcPr>
            <w:tcW w:w="7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7 CONCERNING THE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7.01</w:t>
            </w:r>
          </w:p>
        </w:tc>
        <w:tc>
          <w:tcPr>
            <w:tcW w:w="6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Certain Duties and Responsibilities of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7.02</w:t>
            </w:r>
          </w:p>
        </w:tc>
        <w:tc>
          <w:tcPr>
            <w:tcW w:w="6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Certain Rights of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7.03</w:t>
            </w:r>
          </w:p>
        </w:tc>
        <w:tc>
          <w:tcPr>
            <w:tcW w:w="6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Trustee Not Responsible for Recitals or Issuance or Securities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7.04</w:t>
            </w:r>
          </w:p>
        </w:tc>
        <w:tc>
          <w:tcPr>
            <w:tcW w:w="6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May Hold Securities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7.05</w:t>
            </w:r>
          </w:p>
        </w:tc>
        <w:tc>
          <w:tcPr>
            <w:tcW w:w="6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Moneys Held in Trust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7.06</w:t>
            </w:r>
          </w:p>
        </w:tc>
        <w:tc>
          <w:tcPr>
            <w:tcW w:w="6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Compensation and Reimbursement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7.07</w:t>
            </w:r>
          </w:p>
        </w:tc>
        <w:tc>
          <w:tcPr>
            <w:tcW w:w="6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Reliance on Officer’s Certificate or Opinion of Counsel</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7.08</w:t>
            </w:r>
          </w:p>
        </w:tc>
        <w:tc>
          <w:tcPr>
            <w:tcW w:w="6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Disqualification; Conflicting Interests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7.09</w:t>
            </w:r>
          </w:p>
        </w:tc>
        <w:tc>
          <w:tcPr>
            <w:tcW w:w="6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Trustee Required; Eligibility</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7.10</w:t>
            </w:r>
          </w:p>
        </w:tc>
        <w:tc>
          <w:tcPr>
            <w:tcW w:w="6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Resignation and Removal; Appointment of Successor</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46"/>
        </w:trPr>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7.11</w:t>
            </w:r>
          </w:p>
        </w:tc>
        <w:tc>
          <w:tcPr>
            <w:tcW w:w="6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Acceptance of Appointment By Successor</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77"/>
        </w:trPr>
        <w:tc>
          <w:tcPr>
            <w:tcW w:w="1140" w:type="dxa"/>
            <w:vAlign w:val="bottom"/>
          </w:tcPr>
          <w:p>
            <w:pPr>
              <w:spacing w:after="0"/>
              <w:rPr>
                <w:sz w:val="24"/>
                <w:szCs w:val="24"/>
                <w:color w:val="auto"/>
              </w:rPr>
            </w:pPr>
          </w:p>
        </w:tc>
        <w:tc>
          <w:tcPr>
            <w:tcW w:w="6020" w:type="dxa"/>
            <w:vAlign w:val="bottom"/>
          </w:tcPr>
          <w:p>
            <w:pPr>
              <w:ind w:left="2960"/>
              <w:spacing w:after="0"/>
              <w:rPr>
                <w:sz w:val="20"/>
                <w:szCs w:val="20"/>
                <w:color w:val="auto"/>
              </w:rPr>
            </w:pPr>
            <w:r>
              <w:rPr>
                <w:rFonts w:ascii="Times New Roman" w:cs="Times New Roman" w:eastAsia="Times New Roman" w:hAnsi="Times New Roman"/>
                <w:sz w:val="14"/>
                <w:szCs w:val="14"/>
                <w:color w:val="auto"/>
              </w:rPr>
              <w:t>-ii-</w:t>
            </w:r>
          </w:p>
        </w:tc>
        <w:tc>
          <w:tcPr>
            <w:tcW w:w="1160" w:type="dxa"/>
            <w:vAlign w:val="bottom"/>
          </w:tcPr>
          <w:p>
            <w:pPr>
              <w:spacing w:after="0"/>
              <w:rPr>
                <w:sz w:val="24"/>
                <w:szCs w:val="24"/>
                <w:color w:val="auto"/>
              </w:rPr>
            </w:pPr>
          </w:p>
        </w:tc>
      </w:tr>
    </w:tbl>
    <w:p>
      <w:pPr>
        <w:sectPr>
          <w:pgSz w:w="11900" w:h="16838" w:orient="portrait"/>
          <w:cols w:equalWidth="0" w:num="1">
            <w:col w:w="9019"/>
          </w:cols>
          <w:pgMar w:left="1440" w:top="236" w:right="1440"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(continued)</w:t>
      </w:r>
    </w:p>
    <w:p>
      <w:pPr>
        <w:spacing w:after="0" w:line="98" w:lineRule="exact"/>
        <w:rPr>
          <w:sz w:val="20"/>
          <w:szCs w:val="20"/>
          <w:color w:val="auto"/>
        </w:rPr>
      </w:pPr>
    </w:p>
    <w:tbl>
      <w:tblPr>
        <w:tblLayout w:type="fixed"/>
        <w:tblInd w:w="320" w:type="dxa"/>
        <w:tblCellMar>
          <w:top w:w="0" w:type="dxa"/>
          <w:left w:w="0" w:type="dxa"/>
          <w:bottom w:w="0" w:type="dxa"/>
          <w:right w:w="0" w:type="dxa"/>
        </w:tblCellMar>
      </w:tblPr>
      <w:tr>
        <w:trPr>
          <w:trHeight w:val="143"/>
        </w:trPr>
        <w:tc>
          <w:tcPr>
            <w:tcW w:w="11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34"/>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7.12</w:t>
            </w:r>
          </w:p>
        </w:tc>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Merger, Conversion, Consolidation or Succession to Business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46"/>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7.13</w:t>
            </w:r>
          </w:p>
        </w:tc>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Preferential Collection of Claims Against the Company</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46"/>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7.14</w:t>
            </w:r>
          </w:p>
        </w:tc>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Notice of Default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46"/>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8 CONCERNING THE SECURITYHOLDERS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r>
      <w:tr>
        <w:trPr>
          <w:trHeight w:val="246"/>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8.01</w:t>
            </w:r>
          </w:p>
        </w:tc>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Evidence of Action by Securityholders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46"/>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8.02</w:t>
            </w:r>
          </w:p>
        </w:tc>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Proof of Execution by Securityholders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46"/>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8.03</w:t>
            </w:r>
          </w:p>
        </w:tc>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Who May be Deemed Owners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46"/>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8.04</w:t>
            </w:r>
          </w:p>
        </w:tc>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Certain Securities Owned by Company Disregarded</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46"/>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8.05</w:t>
            </w:r>
          </w:p>
        </w:tc>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Actions Binding on Future Securityholders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46"/>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9 SUPPLEMENTAL INDENTURES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w:t>
            </w:r>
          </w:p>
        </w:tc>
      </w:tr>
      <w:tr>
        <w:trPr>
          <w:trHeight w:val="246"/>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9.01</w:t>
            </w:r>
          </w:p>
        </w:tc>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Supplemental Indentures Without the Consent of Securityholders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46"/>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9.02</w:t>
            </w:r>
          </w:p>
        </w:tc>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Supplemental Indentures With Consent of Securityholders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46"/>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9.03</w:t>
            </w:r>
          </w:p>
        </w:tc>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Effect of Supplemental Indentures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46"/>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9.04</w:t>
            </w:r>
          </w:p>
        </w:tc>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Securities Affected by Supplemental Indentures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46"/>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9.05</w:t>
            </w:r>
          </w:p>
        </w:tc>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Execution of Supplemental Indentures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46"/>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10 SUCCESSOR ENTITY</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r>
      <w:tr>
        <w:trPr>
          <w:trHeight w:val="246"/>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10.01</w:t>
            </w:r>
          </w:p>
        </w:tc>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Company May Consolidate, Etc.</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46"/>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10.02</w:t>
            </w:r>
          </w:p>
        </w:tc>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Successor Entity Substituted</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46"/>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11 SATISFACTION AND DISCHARGE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w:t>
            </w:r>
          </w:p>
        </w:tc>
      </w:tr>
      <w:tr>
        <w:trPr>
          <w:trHeight w:val="246"/>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11.01</w:t>
            </w:r>
          </w:p>
        </w:tc>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Satisfaction and Discharge of Indenture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46"/>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11.02</w:t>
            </w:r>
          </w:p>
        </w:tc>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Discharge of Obligations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46"/>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11.03</w:t>
            </w:r>
          </w:p>
        </w:tc>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Deposited Moneys to be Held in Trust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46"/>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11.04</w:t>
            </w:r>
          </w:p>
        </w:tc>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Payment of Moneys Held by Paying Agents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46"/>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11.05</w:t>
            </w:r>
          </w:p>
        </w:tc>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Repayment to Company</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46"/>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12 IMMUNITY OF INCORPORATORS, STOCKHOLDERS, OFFICERS AND DIRECTORS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w:t>
            </w:r>
          </w:p>
        </w:tc>
      </w:tr>
      <w:tr>
        <w:trPr>
          <w:trHeight w:val="246"/>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12.01</w:t>
            </w:r>
          </w:p>
        </w:tc>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 Recourse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46"/>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13 MISCELLANEOUS PROVISIONS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w:t>
            </w:r>
          </w:p>
        </w:tc>
      </w:tr>
      <w:tr>
        <w:trPr>
          <w:trHeight w:val="246"/>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13.01</w:t>
            </w:r>
          </w:p>
        </w:tc>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Effect on Successors and Assigns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46"/>
        </w:trPr>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13.02</w:t>
            </w:r>
          </w:p>
        </w:tc>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Actions by Successor</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77"/>
        </w:trPr>
        <w:tc>
          <w:tcPr>
            <w:tcW w:w="1160" w:type="dxa"/>
            <w:vAlign w:val="bottom"/>
          </w:tcPr>
          <w:p>
            <w:pPr>
              <w:spacing w:after="0"/>
              <w:rPr>
                <w:sz w:val="24"/>
                <w:szCs w:val="24"/>
                <w:color w:val="auto"/>
              </w:rPr>
            </w:pPr>
          </w:p>
        </w:tc>
        <w:tc>
          <w:tcPr>
            <w:tcW w:w="5980" w:type="dxa"/>
            <w:vAlign w:val="bottom"/>
          </w:tcPr>
          <w:p>
            <w:pPr>
              <w:ind w:left="2920"/>
              <w:spacing w:after="0"/>
              <w:rPr>
                <w:sz w:val="20"/>
                <w:szCs w:val="20"/>
                <w:color w:val="auto"/>
              </w:rPr>
            </w:pPr>
            <w:r>
              <w:rPr>
                <w:rFonts w:ascii="Times New Roman" w:cs="Times New Roman" w:eastAsia="Times New Roman" w:hAnsi="Times New Roman"/>
                <w:sz w:val="14"/>
                <w:szCs w:val="14"/>
                <w:color w:val="auto"/>
              </w:rPr>
              <w:t>-iii-</w:t>
            </w:r>
          </w:p>
        </w:tc>
        <w:tc>
          <w:tcPr>
            <w:tcW w:w="1180" w:type="dxa"/>
            <w:vAlign w:val="bottom"/>
          </w:tcPr>
          <w:p>
            <w:pPr>
              <w:spacing w:after="0"/>
              <w:rPr>
                <w:sz w:val="24"/>
                <w:szCs w:val="24"/>
                <w:color w:val="auto"/>
              </w:rPr>
            </w:pPr>
          </w:p>
        </w:tc>
      </w:tr>
    </w:tbl>
    <w:p>
      <w:pPr>
        <w:sectPr>
          <w:pgSz w:w="11900" w:h="16838" w:orient="portrait"/>
          <w:cols w:equalWidth="0" w:num="1">
            <w:col w:w="9019"/>
          </w:cols>
          <w:pgMar w:left="1440" w:top="235" w:right="1440" w:bottom="1440" w:gutter="0" w:footer="0" w:header="0"/>
        </w:sectPr>
      </w:pPr>
    </w:p>
    <w:bookmarkStart w:id="95" w:name="page96"/>
    <w:bookmarkEnd w:id="9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168"/>
        </w:trPr>
        <w:tc>
          <w:tcPr>
            <w:tcW w:w="1180" w:type="dxa"/>
            <w:vAlign w:val="bottom"/>
          </w:tcPr>
          <w:p>
            <w:pPr>
              <w:spacing w:after="0"/>
              <w:rPr>
                <w:sz w:val="14"/>
                <w:szCs w:val="14"/>
                <w:color w:val="auto"/>
              </w:rPr>
            </w:pPr>
          </w:p>
        </w:tc>
        <w:tc>
          <w:tcPr>
            <w:tcW w:w="5320" w:type="dxa"/>
            <w:vAlign w:val="bottom"/>
          </w:tcPr>
          <w:p>
            <w:pPr>
              <w:jc w:val="center"/>
              <w:ind w:left="632"/>
              <w:spacing w:after="0"/>
              <w:rPr>
                <w:sz w:val="20"/>
                <w:szCs w:val="20"/>
                <w:color w:val="auto"/>
              </w:rPr>
            </w:pPr>
            <w:r>
              <w:rPr>
                <w:rFonts w:ascii="Times New Roman" w:cs="Times New Roman" w:eastAsia="Times New Roman" w:hAnsi="Times New Roman"/>
                <w:sz w:val="14"/>
                <w:szCs w:val="14"/>
                <w:b w:val="1"/>
                <w:bCs w:val="1"/>
                <w:color w:val="auto"/>
                <w:w w:val="96"/>
              </w:rPr>
              <w:t>TABLE OF CONTENTS</w:t>
            </w:r>
          </w:p>
        </w:tc>
        <w:tc>
          <w:tcPr>
            <w:tcW w:w="1820" w:type="dxa"/>
            <w:vAlign w:val="bottom"/>
          </w:tcPr>
          <w:p>
            <w:pPr>
              <w:spacing w:after="0"/>
              <w:rPr>
                <w:sz w:val="14"/>
                <w:szCs w:val="14"/>
                <w:color w:val="auto"/>
              </w:rPr>
            </w:pPr>
          </w:p>
        </w:tc>
      </w:tr>
      <w:tr>
        <w:trPr>
          <w:trHeight w:val="176"/>
        </w:trPr>
        <w:tc>
          <w:tcPr>
            <w:tcW w:w="1180" w:type="dxa"/>
            <w:vAlign w:val="bottom"/>
          </w:tcPr>
          <w:p>
            <w:pPr>
              <w:spacing w:after="0"/>
              <w:rPr>
                <w:sz w:val="15"/>
                <w:szCs w:val="15"/>
                <w:color w:val="auto"/>
              </w:rPr>
            </w:pPr>
          </w:p>
        </w:tc>
        <w:tc>
          <w:tcPr>
            <w:tcW w:w="5320" w:type="dxa"/>
            <w:vAlign w:val="bottom"/>
          </w:tcPr>
          <w:p>
            <w:pPr>
              <w:jc w:val="center"/>
              <w:ind w:left="612"/>
              <w:spacing w:after="0"/>
              <w:rPr>
                <w:sz w:val="20"/>
                <w:szCs w:val="20"/>
                <w:color w:val="auto"/>
              </w:rPr>
            </w:pPr>
            <w:r>
              <w:rPr>
                <w:rFonts w:ascii="Times New Roman" w:cs="Times New Roman" w:eastAsia="Times New Roman" w:hAnsi="Times New Roman"/>
                <w:sz w:val="14"/>
                <w:szCs w:val="14"/>
                <w:color w:val="auto"/>
                <w:w w:val="99"/>
              </w:rPr>
              <w:t>(continued)</w:t>
            </w:r>
          </w:p>
        </w:tc>
        <w:tc>
          <w:tcPr>
            <w:tcW w:w="1820" w:type="dxa"/>
            <w:vAlign w:val="bottom"/>
          </w:tcPr>
          <w:p>
            <w:pPr>
              <w:spacing w:after="0"/>
              <w:rPr>
                <w:sz w:val="15"/>
                <w:szCs w:val="15"/>
                <w:color w:val="auto"/>
              </w:rPr>
            </w:pPr>
          </w:p>
        </w:tc>
      </w:tr>
      <w:tr>
        <w:trPr>
          <w:trHeight w:val="238"/>
        </w:trPr>
        <w:tc>
          <w:tcPr>
            <w:tcW w:w="11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34"/>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13.03</w:t>
            </w:r>
          </w:p>
        </w:tc>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Surrender of Company Powers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46"/>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13.04</w:t>
            </w:r>
          </w:p>
        </w:tc>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Notices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46"/>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13.05</w:t>
            </w:r>
          </w:p>
        </w:tc>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Governing Law: Jury Trial Waiver</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46"/>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13.06</w:t>
            </w:r>
          </w:p>
        </w:tc>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Treatment of Securities as Debt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46"/>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13.07</w:t>
            </w:r>
          </w:p>
        </w:tc>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Certificates and Opinions as to Conditions Precedent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46"/>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13.08</w:t>
            </w:r>
          </w:p>
        </w:tc>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on Business Days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46"/>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13.09</w:t>
            </w:r>
          </w:p>
        </w:tc>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Conflict with Trust Indenture Act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46"/>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13.10</w:t>
            </w:r>
          </w:p>
        </w:tc>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Counterparts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46"/>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13.11</w:t>
            </w:r>
          </w:p>
        </w:tc>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Separability</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46"/>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13.12</w:t>
            </w:r>
          </w:p>
        </w:tc>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Compliance Certificates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46"/>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13.13</w:t>
            </w:r>
          </w:p>
        </w:tc>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USA PATRIOT ACT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46"/>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13.14</w:t>
            </w:r>
          </w:p>
        </w:tc>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Calculations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46"/>
        </w:trPr>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14 SUBORDINATION OF SECURITIES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w:t>
            </w:r>
          </w:p>
        </w:tc>
      </w:tr>
      <w:tr>
        <w:trPr>
          <w:trHeight w:val="246"/>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14.01</w:t>
            </w:r>
          </w:p>
        </w:tc>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Subordination Terms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77"/>
        </w:trPr>
        <w:tc>
          <w:tcPr>
            <w:tcW w:w="1180" w:type="dxa"/>
            <w:vAlign w:val="bottom"/>
          </w:tcPr>
          <w:p>
            <w:pPr>
              <w:spacing w:after="0"/>
              <w:rPr>
                <w:sz w:val="24"/>
                <w:szCs w:val="24"/>
                <w:color w:val="auto"/>
              </w:rPr>
            </w:pPr>
          </w:p>
        </w:tc>
        <w:tc>
          <w:tcPr>
            <w:tcW w:w="5320" w:type="dxa"/>
            <w:vAlign w:val="bottom"/>
          </w:tcPr>
          <w:p>
            <w:pPr>
              <w:jc w:val="center"/>
              <w:ind w:left="612"/>
              <w:spacing w:after="0"/>
              <w:rPr>
                <w:sz w:val="20"/>
                <w:szCs w:val="20"/>
                <w:color w:val="auto"/>
              </w:rPr>
            </w:pPr>
            <w:r>
              <w:rPr>
                <w:rFonts w:ascii="Times New Roman" w:cs="Times New Roman" w:eastAsia="Times New Roman" w:hAnsi="Times New Roman"/>
                <w:sz w:val="14"/>
                <w:szCs w:val="14"/>
                <w:color w:val="auto"/>
                <w:w w:val="98"/>
              </w:rPr>
              <w:t>-iv-</w:t>
            </w:r>
          </w:p>
        </w:tc>
        <w:tc>
          <w:tcPr>
            <w:tcW w:w="1820" w:type="dxa"/>
            <w:vAlign w:val="bottom"/>
          </w:tcPr>
          <w:p>
            <w:pPr>
              <w:spacing w:after="0"/>
              <w:rPr>
                <w:sz w:val="24"/>
                <w:szCs w:val="24"/>
                <w:color w:val="auto"/>
              </w:rPr>
            </w:pPr>
          </w:p>
        </w:tc>
      </w:tr>
    </w:tbl>
    <w:p>
      <w:pPr>
        <w:sectPr>
          <w:pgSz w:w="11900" w:h="16838" w:orient="portrait"/>
          <w:cols w:equalWidth="0" w:num="1">
            <w:col w:w="9019"/>
          </w:cols>
          <w:pgMar w:left="1440" w:top="236" w:right="1440"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INDENTURE</w:t>
      </w:r>
    </w:p>
    <w:p>
      <w:pPr>
        <w:spacing w:after="0" w:line="167" w:lineRule="exact"/>
        <w:rPr>
          <w:sz w:val="20"/>
          <w:szCs w:val="20"/>
          <w:color w:val="auto"/>
        </w:rPr>
      </w:pPr>
    </w:p>
    <w:p>
      <w:pPr>
        <w:ind w:left="320" w:right="779" w:firstLine="335"/>
        <w:spacing w:after="0" w:line="272" w:lineRule="auto"/>
        <w:rPr>
          <w:sz w:val="20"/>
          <w:szCs w:val="20"/>
          <w:color w:val="auto"/>
        </w:rPr>
      </w:pP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 dated as of [•], 202[•], among</w:t>
      </w:r>
      <w:r>
        <w:rPr>
          <w:rFonts w:ascii="Times New Roman" w:cs="Times New Roman" w:eastAsia="Times New Roman" w:hAnsi="Times New Roman"/>
          <w:sz w:val="14"/>
          <w:szCs w:val="14"/>
          <w:b w:val="1"/>
          <w:bCs w:val="1"/>
          <w:color w:val="auto"/>
        </w:rPr>
        <w:t xml:space="preserve"> Q32 BIO INC.</w:t>
      </w:r>
      <w:r>
        <w:rPr>
          <w:rFonts w:ascii="Times New Roman" w:cs="Times New Roman" w:eastAsia="Times New Roman" w:hAnsi="Times New Roman"/>
          <w:sz w:val="14"/>
          <w:szCs w:val="14"/>
          <w:color w:val="auto"/>
        </w:rPr>
        <w:t>,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and</w:t>
      </w:r>
      <w:r>
        <w:rPr>
          <w:rFonts w:ascii="Times New Roman" w:cs="Times New Roman" w:eastAsia="Times New Roman" w:hAnsi="Times New Roman"/>
          <w:sz w:val="14"/>
          <w:szCs w:val="14"/>
          <w:b w:val="1"/>
          <w:bCs w:val="1"/>
          <w:color w:val="auto"/>
        </w:rPr>
        <w:t xml:space="preserve"> [TRUSTEE] </w:t>
      </w:r>
      <w:r>
        <w:rPr>
          <w:rFonts w:ascii="Times New Roman" w:cs="Times New Roman" w:eastAsia="Times New Roman" w:hAnsi="Times New Roman"/>
          <w:sz w:val="14"/>
          <w:szCs w:val="14"/>
          <w:color w:val="auto"/>
        </w:rPr>
        <w:t>as trustee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Trustee</w:t>
      </w:r>
      <w:r>
        <w:rPr>
          <w:rFonts w:ascii="Times New Roman" w:cs="Times New Roman" w:eastAsia="Times New Roman" w:hAnsi="Times New Roman"/>
          <w:sz w:val="14"/>
          <w:szCs w:val="14"/>
          <w:color w:val="auto"/>
        </w:rPr>
        <w:t>”):</w:t>
      </w:r>
    </w:p>
    <w:p>
      <w:pPr>
        <w:spacing w:after="0" w:line="45" w:lineRule="exact"/>
        <w:rPr>
          <w:sz w:val="20"/>
          <w:szCs w:val="20"/>
          <w:color w:val="auto"/>
        </w:rPr>
      </w:pPr>
    </w:p>
    <w:p>
      <w:pPr>
        <w:jc w:val="both"/>
        <w:ind w:left="320" w:right="379" w:firstLine="335"/>
        <w:spacing w:after="0" w:line="287"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for its lawful corporate purposes, the Company has duly authorized the execution and delivery of this Indenture to provide for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issuance of subordinated debt securities (hereinafter referred to as the “</w:t>
      </w:r>
      <w:r>
        <w:rPr>
          <w:rFonts w:ascii="Times New Roman" w:cs="Times New Roman" w:eastAsia="Times New Roman" w:hAnsi="Times New Roman"/>
          <w:sz w:val="13"/>
          <w:szCs w:val="13"/>
          <w:b w:val="1"/>
          <w:bCs w:val="1"/>
          <w:color w:val="auto"/>
        </w:rPr>
        <w:t>Securities</w:t>
      </w:r>
      <w:r>
        <w:rPr>
          <w:rFonts w:ascii="Times New Roman" w:cs="Times New Roman" w:eastAsia="Times New Roman" w:hAnsi="Times New Roman"/>
          <w:sz w:val="13"/>
          <w:szCs w:val="13"/>
          <w:color w:val="auto"/>
        </w:rPr>
        <w:t>”), in an unlimited aggregate principal amount to be issued from time to time in one or more series as in this Indenture provided, as registered Securities without coupons, to be authenticated by the certificate of the Trustee;</w:t>
      </w:r>
    </w:p>
    <w:p>
      <w:pPr>
        <w:spacing w:after="0" w:line="120" w:lineRule="exact"/>
        <w:rPr>
          <w:sz w:val="20"/>
          <w:szCs w:val="20"/>
          <w:color w:val="auto"/>
        </w:rPr>
      </w:pPr>
    </w:p>
    <w:p>
      <w:pPr>
        <w:ind w:left="320" w:right="459" w:firstLine="335"/>
        <w:spacing w:after="0" w:line="272"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to provide the terms and conditions upon which the Securities are to be authenticated, issued and delivered, the Company has duly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authorized the execution of this Indenture; and</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all things necessary to make this Indenture a valid and binding agreement of the Company, in accordance with its terms, have been</w:t>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done.</w:t>
      </w:r>
    </w:p>
    <w:p>
      <w:pPr>
        <w:spacing w:after="0" w:line="152" w:lineRule="exact"/>
        <w:rPr>
          <w:sz w:val="20"/>
          <w:szCs w:val="20"/>
          <w:color w:val="auto"/>
        </w:rPr>
      </w:pPr>
    </w:p>
    <w:p>
      <w:pPr>
        <w:ind w:left="320" w:right="519" w:firstLine="335"/>
        <w:spacing w:after="0" w:line="272" w:lineRule="auto"/>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premises and the purchase of the Securities by the holders thereof, it is mutually covenanted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agreed as follows for the equal and ratable benefit of the holders of Securities:</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1</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1.01 </w:t>
      </w:r>
      <w:r>
        <w:rPr>
          <w:rFonts w:ascii="Times New Roman" w:cs="Times New Roman" w:eastAsia="Times New Roman" w:hAnsi="Times New Roman"/>
          <w:sz w:val="14"/>
          <w:szCs w:val="14"/>
          <w:u w:val="single" w:color="auto"/>
          <w:color w:val="auto"/>
        </w:rPr>
        <w:t>Definitions of Terms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335"/>
        <w:spacing w:after="0" w:line="249" w:lineRule="auto"/>
        <w:rPr>
          <w:sz w:val="20"/>
          <w:szCs w:val="20"/>
          <w:color w:val="auto"/>
        </w:rPr>
      </w:pPr>
      <w:r>
        <w:rPr>
          <w:rFonts w:ascii="Times New Roman" w:cs="Times New Roman" w:eastAsia="Times New Roman" w:hAnsi="Times New Roman"/>
          <w:sz w:val="14"/>
          <w:szCs w:val="14"/>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43" w:lineRule="exact"/>
        <w:rPr>
          <w:sz w:val="20"/>
          <w:szCs w:val="20"/>
          <w:color w:val="auto"/>
        </w:rPr>
      </w:pPr>
    </w:p>
    <w:p>
      <w:pPr>
        <w:ind w:left="320" w:right="459" w:firstLine="33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Authenticating Agent</w:t>
      </w:r>
      <w:r>
        <w:rPr>
          <w:rFonts w:ascii="Times New Roman" w:cs="Times New Roman" w:eastAsia="Times New Roman" w:hAnsi="Times New Roman"/>
          <w:sz w:val="14"/>
          <w:szCs w:val="14"/>
          <w:color w:val="auto"/>
        </w:rPr>
        <w:t xml:space="preserve">” means an authenticating agent with respect to all or any of the series of Securities appointed by the Trustee pursuant to </w:t>
      </w:r>
      <w:r>
        <w:rPr>
          <w:rFonts w:ascii="Times New Roman" w:cs="Times New Roman" w:eastAsia="Times New Roman" w:hAnsi="Times New Roman"/>
          <w:sz w:val="14"/>
          <w:szCs w:val="14"/>
          <w:u w:val="single" w:color="auto"/>
          <w:color w:val="auto"/>
        </w:rPr>
        <w:t>Section 2.10</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Bankruptcy Law</w:t>
      </w:r>
      <w:r>
        <w:rPr>
          <w:rFonts w:ascii="Times New Roman" w:cs="Times New Roman" w:eastAsia="Times New Roman" w:hAnsi="Times New Roman"/>
          <w:sz w:val="14"/>
          <w:szCs w:val="14"/>
          <w:color w:val="auto"/>
        </w:rPr>
        <w:t>” means Title 11, U.S. Code, or any similar federal or state law for the relief of debtors.</w:t>
      </w:r>
    </w:p>
    <w:p>
      <w:pPr>
        <w:spacing w:after="0" w:line="167" w:lineRule="exact"/>
        <w:rPr>
          <w:sz w:val="20"/>
          <w:szCs w:val="20"/>
          <w:color w:val="auto"/>
        </w:rPr>
      </w:pPr>
    </w:p>
    <w:p>
      <w:pPr>
        <w:ind w:left="320" w:right="519" w:firstLine="33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Board of Directors</w:t>
      </w:r>
      <w:r>
        <w:rPr>
          <w:rFonts w:ascii="Times New Roman" w:cs="Times New Roman" w:eastAsia="Times New Roman" w:hAnsi="Times New Roman"/>
          <w:sz w:val="14"/>
          <w:szCs w:val="14"/>
          <w:color w:val="auto"/>
        </w:rPr>
        <w:t>” means the Board of Directors (or the functional equivalent thereof) of the Company or any duly authorized committee of such Board.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6" w:right="1440" w:bottom="1440" w:gutter="0" w:footer="0" w:header="0"/>
        </w:sectPr>
      </w:pPr>
    </w:p>
    <w:bookmarkStart w:id="97" w:name="page98"/>
    <w:bookmarkEnd w:id="97"/>
    <w:p>
      <w:pPr>
        <w:ind w:left="320" w:right="419" w:firstLine="335"/>
        <w:spacing w:after="0" w:line="27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Board Resolution</w:t>
      </w:r>
      <w:r>
        <w:rPr>
          <w:rFonts w:ascii="Times New Roman" w:cs="Times New Roman" w:eastAsia="Times New Roman" w:hAnsi="Times New Roman"/>
          <w:sz w:val="14"/>
          <w:szCs w:val="14"/>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27" w:lineRule="exact"/>
        <w:rPr>
          <w:sz w:val="20"/>
          <w:szCs w:val="20"/>
          <w:color w:val="auto"/>
        </w:rPr>
      </w:pPr>
    </w:p>
    <w:p>
      <w:pPr>
        <w:ind w:left="320" w:right="659" w:firstLine="335"/>
        <w:spacing w:after="0" w:line="31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Business Day</w:t>
      </w:r>
      <w:r>
        <w:rPr>
          <w:rFonts w:ascii="Times New Roman" w:cs="Times New Roman" w:eastAsia="Times New Roman" w:hAnsi="Times New Roman"/>
          <w:sz w:val="13"/>
          <w:szCs w:val="13"/>
          <w:color w:val="auto"/>
        </w:rPr>
        <w:t>” means, with respect to any series of Securities, any day other than a day on which federal or state banking institutions in the Borough of Manhattan, the City of New York, or at a place of payment, are authorized or obligated by law, executive order or regulation to close.</w:t>
      </w:r>
    </w:p>
    <w:p>
      <w:pPr>
        <w:spacing w:after="0" w:line="104" w:lineRule="exact"/>
        <w:rPr>
          <w:sz w:val="20"/>
          <w:szCs w:val="20"/>
          <w:color w:val="auto"/>
        </w:rPr>
      </w:pPr>
    </w:p>
    <w:p>
      <w:pPr>
        <w:ind w:left="320" w:right="439" w:firstLine="335"/>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37" w:lineRule="exact"/>
        <w:rPr>
          <w:sz w:val="20"/>
          <w:szCs w:val="20"/>
          <w:color w:val="auto"/>
        </w:rPr>
      </w:pPr>
    </w:p>
    <w:p>
      <w:pPr>
        <w:ind w:left="320" w:right="339" w:firstLine="33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xml:space="preserve">” means Q32 Bio Inc., a corporation duly organized and existing under the laws of the State of Delaware, and, subject to the provisions of </w:t>
      </w:r>
      <w:r>
        <w:rPr>
          <w:rFonts w:ascii="Times New Roman" w:cs="Times New Roman" w:eastAsia="Times New Roman" w:hAnsi="Times New Roman"/>
          <w:sz w:val="14"/>
          <w:szCs w:val="14"/>
          <w:u w:val="single" w:color="auto"/>
          <w:color w:val="auto"/>
        </w:rPr>
        <w:t>Article 10</w:t>
      </w:r>
      <w:r>
        <w:rPr>
          <w:rFonts w:ascii="Times New Roman" w:cs="Times New Roman" w:eastAsia="Times New Roman" w:hAnsi="Times New Roman"/>
          <w:sz w:val="14"/>
          <w:szCs w:val="14"/>
          <w:color w:val="auto"/>
        </w:rPr>
        <w:t>, shall also include its successors and assigns.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Order</w:t>
      </w:r>
      <w:r>
        <w:rPr>
          <w:rFonts w:ascii="Times New Roman" w:cs="Times New Roman" w:eastAsia="Times New Roman" w:hAnsi="Times New Roman"/>
          <w:sz w:val="14"/>
          <w:szCs w:val="14"/>
          <w:color w:val="auto"/>
        </w:rPr>
        <w:t>” means a written order of the Company, signed by an Officer of the Company, and delivered to the Trustee.</w:t>
      </w:r>
    </w:p>
    <w:p>
      <w:pPr>
        <w:spacing w:after="0" w:line="167" w:lineRule="exact"/>
        <w:rPr>
          <w:sz w:val="20"/>
          <w:szCs w:val="20"/>
          <w:color w:val="auto"/>
        </w:rPr>
      </w:pPr>
    </w:p>
    <w:p>
      <w:pPr>
        <w:ind w:left="320" w:right="679" w:firstLine="33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Corporate Trust Office</w:t>
      </w:r>
      <w:r>
        <w:rPr>
          <w:rFonts w:ascii="Times New Roman" w:cs="Times New Roman" w:eastAsia="Times New Roman" w:hAnsi="Times New Roman"/>
          <w:sz w:val="14"/>
          <w:szCs w:val="14"/>
          <w:color w:val="auto"/>
        </w:rPr>
        <w:t>” means the office of the Trustee at which, at any particular time, its corporate trust business shall be administered, which office at the date hereof is located at.</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Custodian</w:t>
      </w:r>
      <w:r>
        <w:rPr>
          <w:rFonts w:ascii="Times New Roman" w:cs="Times New Roman" w:eastAsia="Times New Roman" w:hAnsi="Times New Roman"/>
          <w:sz w:val="14"/>
          <w:szCs w:val="14"/>
          <w:color w:val="auto"/>
        </w:rPr>
        <w:t>” means any receiver, trustee, assignee, liquidator or similar official under any Bankruptcy Law.</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Defaulted Interest</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2.03</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59" w:firstLine="335"/>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Depositary</w:t>
      </w:r>
      <w:r>
        <w:rPr>
          <w:rFonts w:ascii="Times New Roman" w:cs="Times New Roman" w:eastAsia="Times New Roman" w:hAnsi="Times New Roman"/>
          <w:sz w:val="14"/>
          <w:szCs w:val="14"/>
          <w:color w:val="auto"/>
        </w:rPr>
        <w:t xml:space="preserve">”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2.11</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ind w:left="320" w:right="359" w:firstLine="33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Event of Default</w:t>
      </w:r>
      <w:r>
        <w:rPr>
          <w:rFonts w:ascii="Times New Roman" w:cs="Times New Roman" w:eastAsia="Times New Roman" w:hAnsi="Times New Roman"/>
          <w:sz w:val="14"/>
          <w:szCs w:val="14"/>
          <w:color w:val="auto"/>
        </w:rPr>
        <w:t xml:space="preserve">” means, with respect to Securities of a particular series, any event specified in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 continued for the period of time, if any, therein designated.</w:t>
      </w:r>
    </w:p>
    <w:p>
      <w:pPr>
        <w:spacing w:after="0" w:line="127" w:lineRule="exact"/>
        <w:rPr>
          <w:sz w:val="20"/>
          <w:szCs w:val="20"/>
          <w:color w:val="auto"/>
        </w:rPr>
      </w:pPr>
    </w:p>
    <w:p>
      <w:pPr>
        <w:ind w:left="320" w:right="579" w:firstLine="33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means the United States Securities and Exchange Act of 1934, as amended, and the rules and regulations promulgated by the Commission thereunder.</w:t>
      </w:r>
    </w:p>
    <w:p>
      <w:pPr>
        <w:spacing w:after="0" w:line="127" w:lineRule="exact"/>
        <w:rPr>
          <w:sz w:val="20"/>
          <w:szCs w:val="20"/>
          <w:color w:val="auto"/>
        </w:rPr>
      </w:pPr>
    </w:p>
    <w:p>
      <w:pPr>
        <w:ind w:left="320" w:right="339" w:firstLine="335"/>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Global Security</w:t>
      </w:r>
      <w:r>
        <w:rPr>
          <w:rFonts w:ascii="Times New Roman" w:cs="Times New Roman" w:eastAsia="Times New Roman" w:hAnsi="Times New Roman"/>
          <w:sz w:val="14"/>
          <w:szCs w:val="14"/>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6" w:right="1440" w:bottom="1440" w:gutter="0" w:footer="0" w:header="0"/>
        </w:sectPr>
      </w:pPr>
    </w:p>
    <w:bookmarkStart w:id="98" w:name="page99"/>
    <w:bookmarkEnd w:id="98"/>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Governmental Obligations</w:t>
      </w:r>
      <w:r>
        <w:rPr>
          <w:rFonts w:ascii="Times New Roman" w:cs="Times New Roman" w:eastAsia="Times New Roman" w:hAnsi="Times New Roman"/>
          <w:sz w:val="14"/>
          <w:szCs w:val="14"/>
          <w:color w:val="auto"/>
        </w:rPr>
        <w:t xml:space="preserve">”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applicable series of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however, </w:t>
      </w:r>
      <w:r>
        <w:rPr>
          <w:rFonts w:ascii="Times New Roman" w:cs="Times New Roman" w:eastAsia="Times New Roman" w:hAnsi="Times New Roman"/>
          <w:sz w:val="14"/>
          <w:szCs w:val="14"/>
          <w:color w:val="auto"/>
        </w:rPr>
        <w:t>that (except as required by law) such custodian is not authorized to make any deduction from the amount payable to the holder of such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depositary receipt from any amount received by the custodian in respect of the Governmental Obligation or the specific payment of principal of or interest on the Governmental Obligation evidenced by such depositary receipt.</w:t>
      </w:r>
    </w:p>
    <w:p>
      <w:pPr>
        <w:spacing w:after="0" w:line="144" w:lineRule="exact"/>
        <w:rPr>
          <w:sz w:val="20"/>
          <w:szCs w:val="20"/>
          <w:color w:val="auto"/>
        </w:rPr>
      </w:pPr>
    </w:p>
    <w:p>
      <w:pPr>
        <w:ind w:left="320" w:right="719" w:firstLine="33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herein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hereunder</w:t>
      </w:r>
      <w:r>
        <w:rPr>
          <w:rFonts w:ascii="Times New Roman" w:cs="Times New Roman" w:eastAsia="Times New Roman" w:hAnsi="Times New Roman"/>
          <w:sz w:val="14"/>
          <w:szCs w:val="14"/>
          <w:color w:val="auto"/>
        </w:rPr>
        <w:t>”, and other words of similar import, refer to this Indenture as a whole and not to any particular Article, Section or other subdivision.</w:t>
      </w:r>
    </w:p>
    <w:p>
      <w:pPr>
        <w:spacing w:after="0" w:line="127" w:lineRule="exact"/>
        <w:rPr>
          <w:sz w:val="20"/>
          <w:szCs w:val="20"/>
          <w:color w:val="auto"/>
        </w:rPr>
      </w:pPr>
    </w:p>
    <w:p>
      <w:pPr>
        <w:ind w:left="320" w:right="419" w:firstLine="335"/>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 xml:space="preserve">”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jc w:val="both"/>
        <w:ind w:left="320" w:right="539" w:firstLine="335"/>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Interest Payment Date</w:t>
      </w:r>
      <w:r>
        <w:rPr>
          <w:rFonts w:ascii="Times New Roman" w:cs="Times New Roman" w:eastAsia="Times New Roman" w:hAnsi="Times New Roman"/>
          <w:sz w:val="14"/>
          <w:szCs w:val="14"/>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37" w:lineRule="exact"/>
        <w:rPr>
          <w:sz w:val="20"/>
          <w:szCs w:val="20"/>
          <w:color w:val="auto"/>
        </w:rPr>
      </w:pPr>
    </w:p>
    <w:p>
      <w:pPr>
        <w:ind w:left="320" w:right="439" w:firstLine="335"/>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Officer</w:t>
      </w:r>
      <w:r>
        <w:rPr>
          <w:rFonts w:ascii="Times New Roman" w:cs="Times New Roman" w:eastAsia="Times New Roman" w:hAnsi="Times New Roman"/>
          <w:sz w:val="14"/>
          <w:szCs w:val="14"/>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37" w:lineRule="exact"/>
        <w:rPr>
          <w:sz w:val="20"/>
          <w:szCs w:val="20"/>
          <w:color w:val="auto"/>
        </w:rPr>
      </w:pPr>
    </w:p>
    <w:p>
      <w:pPr>
        <w:ind w:left="320" w:right="379" w:firstLine="33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Officer’s Certificate</w:t>
      </w:r>
      <w:r>
        <w:rPr>
          <w:rFonts w:ascii="Times New Roman" w:cs="Times New Roman" w:eastAsia="Times New Roman" w:hAnsi="Times New Roman"/>
          <w:sz w:val="14"/>
          <w:szCs w:val="14"/>
          <w:color w:val="auto"/>
        </w:rPr>
        <w:t xml:space="preserve">” means a certificate signed by any Officer. Each such certificate shall include the statements provided for in </w:t>
      </w:r>
      <w:r>
        <w:rPr>
          <w:rFonts w:ascii="Times New Roman" w:cs="Times New Roman" w:eastAsia="Times New Roman" w:hAnsi="Times New Roman"/>
          <w:sz w:val="14"/>
          <w:szCs w:val="14"/>
          <w:u w:val="single" w:color="auto"/>
          <w:color w:val="auto"/>
        </w:rPr>
        <w:t>Section 13.07</w:t>
      </w:r>
      <w:r>
        <w:rPr>
          <w:rFonts w:ascii="Times New Roman" w:cs="Times New Roman" w:eastAsia="Times New Roman" w:hAnsi="Times New Roman"/>
          <w:sz w:val="14"/>
          <w:szCs w:val="14"/>
          <w:color w:val="auto"/>
        </w:rPr>
        <w:t>, if and to the extent required by the provisions thereof.</w:t>
      </w:r>
    </w:p>
    <w:p>
      <w:pPr>
        <w:spacing w:after="0" w:line="127" w:lineRule="exact"/>
        <w:rPr>
          <w:sz w:val="20"/>
          <w:szCs w:val="20"/>
          <w:color w:val="auto"/>
        </w:rPr>
      </w:pPr>
    </w:p>
    <w:p>
      <w:pPr>
        <w:ind w:left="320" w:right="459" w:firstLine="335"/>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Opinion of Counsel</w:t>
      </w:r>
      <w:r>
        <w:rPr>
          <w:rFonts w:ascii="Times New Roman" w:cs="Times New Roman" w:eastAsia="Times New Roman" w:hAnsi="Times New Roman"/>
          <w:sz w:val="14"/>
          <w:szCs w:val="14"/>
          <w:color w:val="auto"/>
        </w:rPr>
        <w:t xml:space="preserve">” means an opinion in writing subject to customary exceptions of legal counsel, who may be an employee of or counsel for the Company, that is delivered to the Trustee in accordance with the terms hereof. Each such opinion shall include the statements provided for in </w:t>
      </w:r>
      <w:r>
        <w:rPr>
          <w:rFonts w:ascii="Times New Roman" w:cs="Times New Roman" w:eastAsia="Times New Roman" w:hAnsi="Times New Roman"/>
          <w:sz w:val="14"/>
          <w:szCs w:val="14"/>
          <w:u w:val="single" w:color="auto"/>
          <w:color w:val="auto"/>
        </w:rPr>
        <w:t>Section 13.07</w:t>
      </w:r>
      <w:r>
        <w:rPr>
          <w:rFonts w:ascii="Times New Roman" w:cs="Times New Roman" w:eastAsia="Times New Roman" w:hAnsi="Times New Roman"/>
          <w:sz w:val="14"/>
          <w:szCs w:val="14"/>
          <w:color w:val="auto"/>
        </w:rPr>
        <w:t>, if and to the extent required by the provisions thereof.</w:t>
      </w:r>
    </w:p>
    <w:p>
      <w:pPr>
        <w:spacing w:after="0" w:line="137" w:lineRule="exact"/>
        <w:rPr>
          <w:sz w:val="20"/>
          <w:szCs w:val="20"/>
          <w:color w:val="auto"/>
        </w:rPr>
      </w:pPr>
    </w:p>
    <w:p>
      <w:pPr>
        <w:jc w:val="both"/>
        <w:ind w:left="320" w:right="439" w:firstLine="335"/>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Outstanding</w:t>
      </w:r>
      <w:r>
        <w:rPr>
          <w:rFonts w:ascii="Times New Roman" w:cs="Times New Roman" w:eastAsia="Times New Roman" w:hAnsi="Times New Roman"/>
          <w:sz w:val="14"/>
          <w:szCs w:val="14"/>
          <w:color w:val="auto"/>
        </w:rPr>
        <w:t xml:space="preserve">”, when used with reference to Securities of any series, means, subject to the provisions of </w:t>
      </w:r>
      <w:r>
        <w:rPr>
          <w:rFonts w:ascii="Times New Roman" w:cs="Times New Roman" w:eastAsia="Times New Roman" w:hAnsi="Times New Roman"/>
          <w:sz w:val="14"/>
          <w:szCs w:val="14"/>
          <w:u w:val="single" w:color="auto"/>
          <w:color w:val="auto"/>
        </w:rPr>
        <w:t>Section 8.04</w:t>
      </w:r>
      <w:r>
        <w:rPr>
          <w:rFonts w:ascii="Times New Roman" w:cs="Times New Roman" w:eastAsia="Times New Roman" w:hAnsi="Times New Roman"/>
          <w:sz w:val="14"/>
          <w:szCs w:val="14"/>
          <w:color w:val="auto"/>
        </w:rPr>
        <w:t>, as of any particular time, all Securities of that series theretofore authenticated and delivered by the Trustee under this Indenture, except (a) Securities theretofore canceled by the Trustee or any paying agent, or delivered to the Trustee or any paying agent for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6" w:right="1440" w:bottom="1440" w:gutter="0" w:footer="0" w:header="0"/>
        </w:sectPr>
      </w:pPr>
    </w:p>
    <w:bookmarkStart w:id="99" w:name="page100"/>
    <w:bookmarkEnd w:id="99"/>
    <w:p>
      <w:pPr>
        <w:ind w:left="320" w:right="339"/>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if such Securities or portions of such Securities are to be redeemed prior to the maturity thereof, notice of such redemption shall have been given as provided in </w:t>
      </w:r>
      <w:r>
        <w:rPr>
          <w:rFonts w:ascii="Times New Roman" w:cs="Times New Roman" w:eastAsia="Times New Roman" w:hAnsi="Times New Roman"/>
          <w:sz w:val="14"/>
          <w:szCs w:val="14"/>
          <w:u w:val="single" w:color="auto"/>
          <w:color w:val="auto"/>
        </w:rPr>
        <w:t>Article 3</w:t>
      </w:r>
      <w:r>
        <w:rPr>
          <w:rFonts w:ascii="Times New Roman" w:cs="Times New Roman" w:eastAsia="Times New Roman" w:hAnsi="Times New Roman"/>
          <w:sz w:val="14"/>
          <w:szCs w:val="14"/>
          <w:color w:val="auto"/>
        </w:rPr>
        <w:t xml:space="preserve">, or provision satisfactory to the Trustee shall have been made for giving such notice; and (c) Securities in lieu of or in substitution for which other Securities shall have been authenticated and delivered pursuant to the terms of </w:t>
      </w:r>
      <w:r>
        <w:rPr>
          <w:rFonts w:ascii="Times New Roman" w:cs="Times New Roman" w:eastAsia="Times New Roman" w:hAnsi="Times New Roman"/>
          <w:sz w:val="14"/>
          <w:szCs w:val="14"/>
          <w:u w:val="single" w:color="auto"/>
          <w:color w:val="auto"/>
        </w:rPr>
        <w:t>Section 2.07</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320" w:right="499" w:firstLine="335"/>
        <w:spacing w:after="0" w:line="31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w:t>
      </w:r>
      <w:r>
        <w:rPr>
          <w:rFonts w:ascii="Times New Roman" w:cs="Times New Roman" w:eastAsia="Times New Roman" w:hAnsi="Times New Roman"/>
          <w:sz w:val="13"/>
          <w:szCs w:val="13"/>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04" w:lineRule="exact"/>
        <w:rPr>
          <w:sz w:val="20"/>
          <w:szCs w:val="20"/>
          <w:color w:val="auto"/>
        </w:rPr>
      </w:pPr>
    </w:p>
    <w:p>
      <w:pPr>
        <w:ind w:left="320" w:right="499" w:firstLine="335"/>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Predecessor Security</w:t>
      </w:r>
      <w:r>
        <w:rPr>
          <w:rFonts w:ascii="Times New Roman" w:cs="Times New Roman" w:eastAsia="Times New Roman" w:hAnsi="Times New Roman"/>
          <w:sz w:val="14"/>
          <w:szCs w:val="14"/>
          <w:color w:val="auto"/>
        </w:rPr>
        <w:t xml:space="preserve">” of any particular Security means every previous Security evidencing all or a portion of the same debt as that evidenced by such particular Security; and, for the purposes of this definition, any Security authenticated and delivered under </w:t>
      </w:r>
      <w:r>
        <w:rPr>
          <w:rFonts w:ascii="Times New Roman" w:cs="Times New Roman" w:eastAsia="Times New Roman" w:hAnsi="Times New Roman"/>
          <w:sz w:val="14"/>
          <w:szCs w:val="14"/>
          <w:u w:val="single" w:color="auto"/>
          <w:color w:val="auto"/>
        </w:rPr>
        <w:t>Section 2.07</w:t>
      </w:r>
      <w:r>
        <w:rPr>
          <w:rFonts w:ascii="Times New Roman" w:cs="Times New Roman" w:eastAsia="Times New Roman" w:hAnsi="Times New Roman"/>
          <w:sz w:val="14"/>
          <w:szCs w:val="14"/>
          <w:color w:val="auto"/>
        </w:rPr>
        <w:t xml:space="preserve"> in lieu of a lost, destroyed or stolen Security shall be deemed to evidence the same debt as the lost, destroyed or stolen Security.</w:t>
      </w:r>
    </w:p>
    <w:p>
      <w:pPr>
        <w:spacing w:after="0" w:line="137" w:lineRule="exact"/>
        <w:rPr>
          <w:sz w:val="20"/>
          <w:szCs w:val="20"/>
          <w:color w:val="auto"/>
        </w:rPr>
      </w:pPr>
    </w:p>
    <w:p>
      <w:pPr>
        <w:ind w:left="320" w:right="419" w:firstLine="335"/>
        <w:spacing w:after="0" w:line="25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Responsible Officer</w:t>
      </w:r>
      <w:r>
        <w:rPr>
          <w:rFonts w:ascii="Times New Roman" w:cs="Times New Roman" w:eastAsia="Times New Roman" w:hAnsi="Times New Roman"/>
          <w:sz w:val="14"/>
          <w:szCs w:val="14"/>
          <w:color w:val="auto"/>
        </w:rPr>
        <w:t>” when used with respect to the Trustee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in each case, who shall have direct responsibility for the administration of this Indenture (which, for the avoidance of doubt, includes without limitation any supplemental indenture hereto).</w:t>
      </w:r>
    </w:p>
    <w:p>
      <w:pPr>
        <w:spacing w:after="0" w:line="143" w:lineRule="exact"/>
        <w:rPr>
          <w:sz w:val="20"/>
          <w:szCs w:val="20"/>
          <w:color w:val="auto"/>
        </w:rPr>
      </w:pPr>
    </w:p>
    <w:p>
      <w:pPr>
        <w:ind w:left="320" w:right="559" w:firstLine="33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4"/>
          <w:szCs w:val="14"/>
          <w:color w:val="auto"/>
        </w:rPr>
        <w:t>” has the meaning stated in the first recital of this Indenture and more particularly means any Securities authenticated and delivered under this Indenture.</w:t>
      </w:r>
    </w:p>
    <w:p>
      <w:pPr>
        <w:spacing w:after="0" w:line="127" w:lineRule="exact"/>
        <w:rPr>
          <w:sz w:val="20"/>
          <w:szCs w:val="20"/>
          <w:color w:val="auto"/>
        </w:rPr>
      </w:pPr>
    </w:p>
    <w:p>
      <w:pPr>
        <w:ind w:left="320" w:right="759" w:firstLine="335"/>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Securityholder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holder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registered holder</w:t>
      </w:r>
      <w:r>
        <w:rPr>
          <w:rFonts w:ascii="Times New Roman" w:cs="Times New Roman" w:eastAsia="Times New Roman" w:hAnsi="Times New Roman"/>
          <w:sz w:val="14"/>
          <w:szCs w:val="14"/>
          <w:color w:val="auto"/>
        </w:rPr>
        <w:t>”, or other similar term, means the Person or Persons in whose name or names a particular Security is registered on the Security Register kept for that purpose in accordance with the terms of this Indenture.</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Security Register</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Security Registrar</w:t>
      </w:r>
      <w:r>
        <w:rPr>
          <w:rFonts w:ascii="Times New Roman" w:cs="Times New Roman" w:eastAsia="Times New Roman" w:hAnsi="Times New Roman"/>
          <w:sz w:val="14"/>
          <w:szCs w:val="14"/>
          <w:color w:val="auto"/>
        </w:rPr>
        <w:t xml:space="preserve">” shall have the meanings as set forth in </w:t>
      </w:r>
      <w:r>
        <w:rPr>
          <w:rFonts w:ascii="Times New Roman" w:cs="Times New Roman" w:eastAsia="Times New Roman" w:hAnsi="Times New Roman"/>
          <w:sz w:val="14"/>
          <w:szCs w:val="14"/>
          <w:u w:val="single" w:color="auto"/>
          <w:color w:val="auto"/>
        </w:rPr>
        <w:t>Section 2.05</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Subsidiary</w:t>
      </w:r>
      <w:r>
        <w:rPr>
          <w:rFonts w:ascii="Times New Roman" w:cs="Times New Roman" w:eastAsia="Times New Roman" w:hAnsi="Times New Roman"/>
          <w:sz w:val="14"/>
          <w:szCs w:val="14"/>
          <w:color w:val="auto"/>
        </w:rPr>
        <w:t>” means, with respect to any Person:</w:t>
      </w:r>
    </w:p>
    <w:p>
      <w:pPr>
        <w:spacing w:after="0" w:line="89" w:lineRule="exact"/>
        <w:rPr>
          <w:sz w:val="20"/>
          <w:szCs w:val="20"/>
          <w:color w:val="auto"/>
        </w:rPr>
      </w:pPr>
    </w:p>
    <w:p>
      <w:pPr>
        <w:ind w:left="660" w:right="479" w:firstLine="315"/>
        <w:spacing w:after="0" w:line="255" w:lineRule="auto"/>
        <w:tabs>
          <w:tab w:leader="none" w:pos="1167"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corporation or company a majority of whose capital stock with voting power, under ordinary circumstances, to elect directors is, at the date of determination, directly or indirectly, owned by such Person (a “</w:t>
      </w:r>
      <w:r>
        <w:rPr>
          <w:rFonts w:ascii="Times New Roman" w:cs="Times New Roman" w:eastAsia="Times New Roman" w:hAnsi="Times New Roman"/>
          <w:sz w:val="14"/>
          <w:szCs w:val="14"/>
          <w:b w:val="1"/>
          <w:bCs w:val="1"/>
          <w:color w:val="auto"/>
        </w:rPr>
        <w:t>subsidiary</w:t>
      </w:r>
      <w:r>
        <w:rPr>
          <w:rFonts w:ascii="Times New Roman" w:cs="Times New Roman" w:eastAsia="Times New Roman" w:hAnsi="Times New Roman"/>
          <w:sz w:val="14"/>
          <w:szCs w:val="14"/>
          <w:color w:val="auto"/>
        </w:rPr>
        <w:t>”), by one or more subsidiaries of such Person or by such Person and one or more subsidiaries of such Person;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9" w:right="1440" w:bottom="1440" w:gutter="0" w:footer="0" w:header="0"/>
        </w:sectPr>
      </w:pPr>
    </w:p>
    <w:bookmarkStart w:id="100" w:name="page101"/>
    <w:bookmarkEnd w:id="100"/>
    <w:p>
      <w:pPr>
        <w:ind w:left="98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(b) a partnership in which such Person or a subsidiary of such Person is, at the date of determination, a general partner of such partnership;</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or</w:t>
      </w:r>
    </w:p>
    <w:p>
      <w:pPr>
        <w:spacing w:after="0" w:line="74" w:lineRule="exact"/>
        <w:rPr>
          <w:sz w:val="20"/>
          <w:szCs w:val="20"/>
          <w:color w:val="auto"/>
        </w:rPr>
      </w:pPr>
    </w:p>
    <w:p>
      <w:pPr>
        <w:ind w:left="660" w:right="479" w:firstLine="315"/>
        <w:spacing w:after="0" w:line="252" w:lineRule="auto"/>
        <w:tabs>
          <w:tab w:leader="none" w:pos="1167"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spacing w:after="0" w:line="141" w:lineRule="exact"/>
        <w:rPr>
          <w:sz w:val="20"/>
          <w:szCs w:val="20"/>
          <w:color w:val="auto"/>
        </w:rPr>
      </w:pPr>
    </w:p>
    <w:p>
      <w:pPr>
        <w:jc w:val="both"/>
        <w:ind w:left="320" w:right="499" w:firstLine="335"/>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Trustee</w:t>
      </w:r>
      <w:r>
        <w:rPr>
          <w:rFonts w:ascii="Times New Roman" w:cs="Times New Roman" w:eastAsia="Times New Roman" w:hAnsi="Times New Roman"/>
          <w:sz w:val="14"/>
          <w:szCs w:val="14"/>
          <w:color w:val="auto"/>
        </w:rPr>
        <w:t xml:space="preserve">” means , and, subject to the provisions of </w:t>
      </w:r>
      <w:r>
        <w:rPr>
          <w:rFonts w:ascii="Times New Roman" w:cs="Times New Roman" w:eastAsia="Times New Roman" w:hAnsi="Times New Roman"/>
          <w:sz w:val="14"/>
          <w:szCs w:val="14"/>
          <w:u w:val="single" w:color="auto"/>
          <w:color w:val="auto"/>
        </w:rPr>
        <w:t>Article 7</w:t>
      </w:r>
      <w:r>
        <w:rPr>
          <w:rFonts w:ascii="Times New Roman" w:cs="Times New Roman" w:eastAsia="Times New Roman" w:hAnsi="Times New Roman"/>
          <w:sz w:val="14"/>
          <w:szCs w:val="14"/>
          <w:color w:val="auto"/>
        </w:rPr>
        <w:t>,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Trust Indenture Act</w:t>
      </w:r>
      <w:r>
        <w:rPr>
          <w:rFonts w:ascii="Times New Roman" w:cs="Times New Roman" w:eastAsia="Times New Roman" w:hAnsi="Times New Roman"/>
          <w:sz w:val="14"/>
          <w:szCs w:val="14"/>
          <w:color w:val="auto"/>
        </w:rPr>
        <w:t>” means the Trust Indenture Act of 1939, as amended and in effect from time to time.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U.S. dollar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means the lawful currency of the United States of America.</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2</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ISSUE, DESCRIPTION, TERMS, EXECUTION, REGISTRATION AND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EXCHANGE OF SECURITIES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2.01 </w:t>
      </w:r>
      <w:r>
        <w:rPr>
          <w:rFonts w:ascii="Times New Roman" w:cs="Times New Roman" w:eastAsia="Times New Roman" w:hAnsi="Times New Roman"/>
          <w:sz w:val="14"/>
          <w:szCs w:val="14"/>
          <w:u w:val="single" w:color="auto"/>
          <w:color w:val="auto"/>
        </w:rPr>
        <w:t>Designation and Terms of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19" w:firstLine="752"/>
        <w:spacing w:after="0" w:line="277" w:lineRule="auto"/>
        <w:tabs>
          <w:tab w:leader="none" w:pos="1259"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48" w:lineRule="exact"/>
        <w:rPr>
          <w:rFonts w:ascii="Times New Roman" w:cs="Times New Roman" w:eastAsia="Times New Roman" w:hAnsi="Times New Roman"/>
          <w:sz w:val="13"/>
          <w:szCs w:val="13"/>
          <w:color w:val="auto"/>
        </w:rPr>
      </w:pPr>
    </w:p>
    <w:p>
      <w:pPr>
        <w:ind w:left="1580" w:hanging="203"/>
        <w:spacing w:after="0"/>
        <w:tabs>
          <w:tab w:leader="none" w:pos="158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Securities of the series (which shall distinguish the Securities of that series from all other Securities);</w:t>
      </w:r>
    </w:p>
    <w:p>
      <w:pPr>
        <w:spacing w:after="0" w:line="85" w:lineRule="exact"/>
        <w:rPr>
          <w:rFonts w:ascii="Times New Roman" w:cs="Times New Roman" w:eastAsia="Times New Roman" w:hAnsi="Times New Roman"/>
          <w:sz w:val="14"/>
          <w:szCs w:val="14"/>
          <w:color w:val="auto"/>
        </w:rPr>
      </w:pPr>
    </w:p>
    <w:p>
      <w:pPr>
        <w:ind w:left="660" w:right="359" w:firstLine="717"/>
        <w:spacing w:after="0" w:line="255" w:lineRule="auto"/>
        <w:tabs>
          <w:tab w:leader="none" w:pos="1577"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spacing w:after="0" w:line="61" w:lineRule="exact"/>
        <w:rPr>
          <w:rFonts w:ascii="Times New Roman" w:cs="Times New Roman" w:eastAsia="Times New Roman" w:hAnsi="Times New Roman"/>
          <w:sz w:val="14"/>
          <w:szCs w:val="14"/>
          <w:color w:val="auto"/>
        </w:rPr>
      </w:pPr>
    </w:p>
    <w:p>
      <w:pPr>
        <w:ind w:left="1580" w:hanging="203"/>
        <w:spacing w:after="0"/>
        <w:tabs>
          <w:tab w:leader="none" w:pos="1580"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Securities of the series is payable;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101" w:name="page102"/>
    <w:bookmarkEnd w:id="101"/>
    <w:p>
      <w:pPr>
        <w:ind w:left="660" w:right="359" w:firstLine="717"/>
        <w:spacing w:after="0" w:line="252" w:lineRule="auto"/>
        <w:tabs>
          <w:tab w:leader="none" w:pos="1577"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62" w:lineRule="exact"/>
        <w:rPr>
          <w:rFonts w:ascii="Times New Roman" w:cs="Times New Roman" w:eastAsia="Times New Roman" w:hAnsi="Times New Roman"/>
          <w:sz w:val="14"/>
          <w:szCs w:val="14"/>
          <w:color w:val="auto"/>
        </w:rPr>
      </w:pPr>
    </w:p>
    <w:p>
      <w:pPr>
        <w:ind w:left="1580" w:hanging="203"/>
        <w:spacing w:after="0"/>
        <w:tabs>
          <w:tab w:leader="none" w:pos="158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rate or rates at which the Securities of the series shall bear interest or the manner of calculation of such rate or rates, if any;</w:t>
      </w:r>
    </w:p>
    <w:p>
      <w:pPr>
        <w:spacing w:after="0" w:line="96" w:lineRule="exact"/>
        <w:rPr>
          <w:rFonts w:ascii="Times New Roman" w:cs="Times New Roman" w:eastAsia="Times New Roman" w:hAnsi="Times New Roman"/>
          <w:sz w:val="13"/>
          <w:szCs w:val="13"/>
          <w:color w:val="auto"/>
        </w:rPr>
      </w:pPr>
    </w:p>
    <w:p>
      <w:pPr>
        <w:ind w:left="660" w:right="459" w:firstLine="717"/>
        <w:spacing w:after="0" w:line="255" w:lineRule="auto"/>
        <w:tabs>
          <w:tab w:leader="none" w:pos="1577"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61" w:lineRule="exact"/>
        <w:rPr>
          <w:rFonts w:ascii="Times New Roman" w:cs="Times New Roman" w:eastAsia="Times New Roman" w:hAnsi="Times New Roman"/>
          <w:sz w:val="14"/>
          <w:szCs w:val="14"/>
          <w:color w:val="auto"/>
        </w:rPr>
      </w:pPr>
    </w:p>
    <w:p>
      <w:pPr>
        <w:ind w:left="1580" w:hanging="203"/>
        <w:spacing w:after="0"/>
        <w:tabs>
          <w:tab w:leader="none" w:pos="15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if any, to extend the interest payment periods and the duration of such extension;</w:t>
      </w:r>
    </w:p>
    <w:p>
      <w:pPr>
        <w:spacing w:after="0" w:line="85" w:lineRule="exact"/>
        <w:rPr>
          <w:rFonts w:ascii="Times New Roman" w:cs="Times New Roman" w:eastAsia="Times New Roman" w:hAnsi="Times New Roman"/>
          <w:sz w:val="14"/>
          <w:szCs w:val="14"/>
          <w:color w:val="auto"/>
        </w:rPr>
      </w:pPr>
    </w:p>
    <w:p>
      <w:pPr>
        <w:ind w:left="660" w:right="459" w:firstLine="717"/>
        <w:spacing w:after="0" w:line="266" w:lineRule="auto"/>
        <w:tabs>
          <w:tab w:leader="none" w:pos="1577"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the price or prices at which and the terms and conditions upon which Securities of the series may be redeemed, converted or exchanged, in whole or in part;</w:t>
      </w:r>
    </w:p>
    <w:p>
      <w:pPr>
        <w:spacing w:after="0" w:line="53" w:lineRule="exact"/>
        <w:rPr>
          <w:rFonts w:ascii="Times New Roman" w:cs="Times New Roman" w:eastAsia="Times New Roman" w:hAnsi="Times New Roman"/>
          <w:sz w:val="14"/>
          <w:szCs w:val="14"/>
          <w:color w:val="auto"/>
        </w:rPr>
      </w:pPr>
    </w:p>
    <w:p>
      <w:pPr>
        <w:jc w:val="both"/>
        <w:ind w:left="660" w:right="599" w:firstLine="717"/>
        <w:spacing w:after="0" w:line="252" w:lineRule="auto"/>
        <w:tabs>
          <w:tab w:leader="none" w:pos="1577"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62" w:lineRule="exact"/>
        <w:rPr>
          <w:rFonts w:ascii="Times New Roman" w:cs="Times New Roman" w:eastAsia="Times New Roman" w:hAnsi="Times New Roman"/>
          <w:sz w:val="14"/>
          <w:szCs w:val="14"/>
          <w:color w:val="auto"/>
        </w:rPr>
      </w:pPr>
    </w:p>
    <w:p>
      <w:pPr>
        <w:ind w:left="1640" w:hanging="263"/>
        <w:spacing w:after="0"/>
        <w:tabs>
          <w:tab w:leader="none" w:pos="1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the Securities of the series including the form of the Certificate of Authentication for such series;</w:t>
      </w:r>
    </w:p>
    <w:p>
      <w:pPr>
        <w:spacing w:after="0" w:line="85" w:lineRule="exact"/>
        <w:rPr>
          <w:rFonts w:ascii="Times New Roman" w:cs="Times New Roman" w:eastAsia="Times New Roman" w:hAnsi="Times New Roman"/>
          <w:sz w:val="14"/>
          <w:szCs w:val="14"/>
          <w:color w:val="auto"/>
        </w:rPr>
      </w:pPr>
    </w:p>
    <w:p>
      <w:pPr>
        <w:ind w:left="660" w:right="679" w:firstLine="717"/>
        <w:spacing w:after="0" w:line="266" w:lineRule="auto"/>
        <w:tabs>
          <w:tab w:leader="none" w:pos="1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minimum denominations of one thousand U.S. dollars ($1,000) or any integral multiple of $1,000 thereof, the denominations in which the Securities of the series shall be issuable;</w:t>
      </w:r>
    </w:p>
    <w:p>
      <w:pPr>
        <w:spacing w:after="0" w:line="53" w:lineRule="exact"/>
        <w:rPr>
          <w:rFonts w:ascii="Times New Roman" w:cs="Times New Roman" w:eastAsia="Times New Roman" w:hAnsi="Times New Roman"/>
          <w:sz w:val="14"/>
          <w:szCs w:val="14"/>
          <w:color w:val="auto"/>
        </w:rPr>
      </w:pPr>
    </w:p>
    <w:p>
      <w:pPr>
        <w:ind w:left="660" w:right="399" w:firstLine="717"/>
        <w:spacing w:after="0" w:line="252" w:lineRule="auto"/>
        <w:tabs>
          <w:tab w:leader="none" w:pos="1645"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9" w:right="1440" w:bottom="1440" w:gutter="0" w:footer="0" w:header="0"/>
        </w:sectPr>
      </w:pPr>
    </w:p>
    <w:bookmarkStart w:id="102" w:name="page103"/>
    <w:bookmarkEnd w:id="102"/>
    <w:p>
      <w:pPr>
        <w:ind w:left="660" w:right="339" w:firstLine="717"/>
        <w:spacing w:after="0" w:line="255" w:lineRule="auto"/>
        <w:tabs>
          <w:tab w:leader="none" w:pos="1645"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61" w:lineRule="exact"/>
        <w:rPr>
          <w:rFonts w:ascii="Times New Roman" w:cs="Times New Roman" w:eastAsia="Times New Roman" w:hAnsi="Times New Roman"/>
          <w:sz w:val="14"/>
          <w:szCs w:val="14"/>
          <w:color w:val="auto"/>
        </w:rPr>
      </w:pPr>
    </w:p>
    <w:p>
      <w:pPr>
        <w:ind w:left="660" w:right="479" w:firstLine="717"/>
        <w:spacing w:after="0" w:line="277" w:lineRule="auto"/>
        <w:tabs>
          <w:tab w:leader="none" w:pos="1645"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48" w:lineRule="exact"/>
        <w:rPr>
          <w:rFonts w:ascii="Times New Roman" w:cs="Times New Roman" w:eastAsia="Times New Roman" w:hAnsi="Times New Roman"/>
          <w:sz w:val="13"/>
          <w:szCs w:val="13"/>
          <w:color w:val="auto"/>
        </w:rPr>
      </w:pPr>
    </w:p>
    <w:p>
      <w:pPr>
        <w:ind w:left="660" w:right="679" w:firstLine="717"/>
        <w:spacing w:after="0" w:line="266" w:lineRule="auto"/>
        <w:tabs>
          <w:tab w:leader="none" w:pos="1645"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other than the full principal amount thereof, the portion of the principal amount of Securities of the series which shall be payable upon declaration of acceleration of the maturity thereof pursuant to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w:t>
      </w:r>
    </w:p>
    <w:p>
      <w:pPr>
        <w:spacing w:after="0" w:line="53" w:lineRule="exact"/>
        <w:rPr>
          <w:rFonts w:ascii="Times New Roman" w:cs="Times New Roman" w:eastAsia="Times New Roman" w:hAnsi="Times New Roman"/>
          <w:sz w:val="14"/>
          <w:szCs w:val="14"/>
          <w:color w:val="auto"/>
        </w:rPr>
      </w:pPr>
    </w:p>
    <w:p>
      <w:pPr>
        <w:ind w:left="1640" w:hanging="263"/>
        <w:spacing w:after="0"/>
        <w:tabs>
          <w:tab w:leader="none" w:pos="1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or alternative Events of Default;</w:t>
      </w:r>
    </w:p>
    <w:p>
      <w:pPr>
        <w:spacing w:after="0" w:line="85" w:lineRule="exact"/>
        <w:rPr>
          <w:rFonts w:ascii="Times New Roman" w:cs="Times New Roman" w:eastAsia="Times New Roman" w:hAnsi="Times New Roman"/>
          <w:sz w:val="14"/>
          <w:szCs w:val="14"/>
          <w:color w:val="auto"/>
        </w:rPr>
      </w:pPr>
    </w:p>
    <w:p>
      <w:pPr>
        <w:ind w:left="660" w:right="439" w:firstLine="717"/>
        <w:spacing w:after="0" w:line="247" w:lineRule="auto"/>
        <w:tabs>
          <w:tab w:leader="none" w:pos="1645"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69" w:lineRule="exact"/>
        <w:rPr>
          <w:rFonts w:ascii="Times New Roman" w:cs="Times New Roman" w:eastAsia="Times New Roman" w:hAnsi="Times New Roman"/>
          <w:sz w:val="14"/>
          <w:szCs w:val="14"/>
          <w:color w:val="auto"/>
        </w:rPr>
      </w:pPr>
    </w:p>
    <w:p>
      <w:pPr>
        <w:ind w:left="660" w:right="459" w:firstLine="717"/>
        <w:spacing w:after="0" w:line="284" w:lineRule="auto"/>
        <w:tabs>
          <w:tab w:leader="none" w:pos="1645"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43" w:lineRule="exact"/>
        <w:rPr>
          <w:rFonts w:ascii="Times New Roman" w:cs="Times New Roman" w:eastAsia="Times New Roman" w:hAnsi="Times New Roman"/>
          <w:sz w:val="13"/>
          <w:szCs w:val="13"/>
          <w:color w:val="auto"/>
        </w:rPr>
      </w:pPr>
    </w:p>
    <w:p>
      <w:pPr>
        <w:jc w:val="both"/>
        <w:ind w:left="660" w:right="379" w:firstLine="717"/>
        <w:spacing w:after="0" w:line="255" w:lineRule="auto"/>
        <w:tabs>
          <w:tab w:leader="none" w:pos="1645"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spacing w:after="0" w:line="61" w:lineRule="exact"/>
        <w:rPr>
          <w:rFonts w:ascii="Times New Roman" w:cs="Times New Roman" w:eastAsia="Times New Roman" w:hAnsi="Times New Roman"/>
          <w:sz w:val="14"/>
          <w:szCs w:val="14"/>
          <w:color w:val="auto"/>
        </w:rPr>
      </w:pPr>
    </w:p>
    <w:p>
      <w:pPr>
        <w:ind w:left="660" w:right="479" w:firstLine="717"/>
        <w:spacing w:after="0" w:line="266" w:lineRule="auto"/>
        <w:tabs>
          <w:tab w:leader="none" w:pos="1645"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 will be payable in cash or additional Securities at the Company’s or the Securityholders’ option and the terms and conditions upon which the election may be made;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103" w:name="page104"/>
    <w:bookmarkEnd w:id="103"/>
    <w:p>
      <w:pPr>
        <w:ind w:left="660" w:right="459" w:firstLine="717"/>
        <w:spacing w:after="0" w:line="266" w:lineRule="auto"/>
        <w:tabs>
          <w:tab w:leader="none" w:pos="1645"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53" w:lineRule="exact"/>
        <w:rPr>
          <w:rFonts w:ascii="Times New Roman" w:cs="Times New Roman" w:eastAsia="Times New Roman" w:hAnsi="Times New Roman"/>
          <w:sz w:val="14"/>
          <w:szCs w:val="14"/>
          <w:color w:val="auto"/>
        </w:rPr>
      </w:pPr>
    </w:p>
    <w:p>
      <w:pPr>
        <w:ind w:left="1640" w:hanging="263"/>
        <w:spacing w:after="0"/>
        <w:tabs>
          <w:tab w:leader="none" w:pos="1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or alternative provisions, if any, related to defeasance and discharge of the offered Securities;</w:t>
      </w:r>
    </w:p>
    <w:p>
      <w:pPr>
        <w:spacing w:after="0" w:line="85" w:lineRule="exact"/>
        <w:rPr>
          <w:rFonts w:ascii="Times New Roman" w:cs="Times New Roman" w:eastAsia="Times New Roman" w:hAnsi="Times New Roman"/>
          <w:sz w:val="14"/>
          <w:szCs w:val="14"/>
          <w:color w:val="auto"/>
        </w:rPr>
      </w:pPr>
    </w:p>
    <w:p>
      <w:pPr>
        <w:ind w:left="1640" w:hanging="263"/>
        <w:spacing w:after="0"/>
        <w:tabs>
          <w:tab w:leader="none" w:pos="1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applicability of any guarantees;</w:t>
      </w:r>
    </w:p>
    <w:p>
      <w:pPr>
        <w:spacing w:after="0" w:line="85" w:lineRule="exact"/>
        <w:rPr>
          <w:rFonts w:ascii="Times New Roman" w:cs="Times New Roman" w:eastAsia="Times New Roman" w:hAnsi="Times New Roman"/>
          <w:sz w:val="14"/>
          <w:szCs w:val="14"/>
          <w:color w:val="auto"/>
        </w:rPr>
      </w:pPr>
    </w:p>
    <w:p>
      <w:pPr>
        <w:ind w:left="1640" w:hanging="263"/>
        <w:spacing w:after="0"/>
        <w:tabs>
          <w:tab w:leader="none" w:pos="1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transfer, sale or assignment of the Securities of the series; and</w:t>
      </w:r>
    </w:p>
    <w:p>
      <w:pPr>
        <w:spacing w:after="0" w:line="85" w:lineRule="exact"/>
        <w:rPr>
          <w:rFonts w:ascii="Times New Roman" w:cs="Times New Roman" w:eastAsia="Times New Roman" w:hAnsi="Times New Roman"/>
          <w:sz w:val="14"/>
          <w:szCs w:val="14"/>
          <w:color w:val="auto"/>
        </w:rPr>
      </w:pPr>
    </w:p>
    <w:p>
      <w:pPr>
        <w:ind w:left="1640" w:hanging="263"/>
        <w:spacing w:after="0"/>
        <w:tabs>
          <w:tab w:leader="none" w:pos="1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series.</w:t>
      </w:r>
    </w:p>
    <w:p>
      <w:pPr>
        <w:spacing w:after="0" w:line="167" w:lineRule="exact"/>
        <w:rPr>
          <w:sz w:val="20"/>
          <w:szCs w:val="20"/>
          <w:color w:val="auto"/>
        </w:rPr>
      </w:pPr>
    </w:p>
    <w:p>
      <w:pPr>
        <w:ind w:left="320" w:right="479" w:firstLine="335"/>
        <w:spacing w:after="0" w:line="266" w:lineRule="auto"/>
        <w:rPr>
          <w:sz w:val="20"/>
          <w:szCs w:val="20"/>
          <w:color w:val="auto"/>
        </w:rPr>
      </w:pPr>
      <w:r>
        <w:rPr>
          <w:rFonts w:ascii="Times New Roman" w:cs="Times New Roman" w:eastAsia="Times New Roman" w:hAnsi="Times New Roman"/>
          <w:sz w:val="14"/>
          <w:szCs w:val="14"/>
          <w:color w:val="auto"/>
        </w:rPr>
        <w:t>All Securities of any one series shall be substantially identical except as may otherwise be provided in or pursuant to any such Board Resolution or in any indentures supplemental hereto.</w:t>
      </w:r>
    </w:p>
    <w:p>
      <w:pPr>
        <w:spacing w:after="0" w:line="136" w:lineRule="exact"/>
        <w:rPr>
          <w:sz w:val="20"/>
          <w:szCs w:val="20"/>
          <w:color w:val="auto"/>
        </w:rPr>
      </w:pPr>
    </w:p>
    <w:p>
      <w:pPr>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43" w:lineRule="exact"/>
        <w:rPr>
          <w:sz w:val="20"/>
          <w:szCs w:val="20"/>
          <w:color w:val="auto"/>
        </w:rPr>
      </w:pPr>
    </w:p>
    <w:p>
      <w:pPr>
        <w:jc w:val="both"/>
        <w:ind w:left="320" w:right="579" w:firstLine="335"/>
        <w:spacing w:after="0" w:line="255" w:lineRule="auto"/>
        <w:rPr>
          <w:sz w:val="20"/>
          <w:szCs w:val="20"/>
          <w:color w:val="auto"/>
        </w:rPr>
      </w:pPr>
      <w:r>
        <w:rPr>
          <w:rFonts w:ascii="Times New Roman" w:cs="Times New Roman" w:eastAsia="Times New Roman" w:hAnsi="Times New Roman"/>
          <w:sz w:val="14"/>
          <w:szCs w:val="14"/>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2.02 </w:t>
      </w:r>
      <w:r>
        <w:rPr>
          <w:rFonts w:ascii="Times New Roman" w:cs="Times New Roman" w:eastAsia="Times New Roman" w:hAnsi="Times New Roman"/>
          <w:sz w:val="14"/>
          <w:szCs w:val="14"/>
          <w:u w:val="single" w:color="auto"/>
          <w:color w:val="auto"/>
        </w:rPr>
        <w:t>Form of Securities and Trustee’s Certificate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99" w:firstLine="335"/>
        <w:spacing w:after="0" w:line="249" w:lineRule="auto"/>
        <w:rPr>
          <w:sz w:val="20"/>
          <w:szCs w:val="20"/>
          <w:color w:val="auto"/>
        </w:rPr>
      </w:pPr>
      <w:r>
        <w:rPr>
          <w:rFonts w:ascii="Times New Roman" w:cs="Times New Roman" w:eastAsia="Times New Roman" w:hAnsi="Times New Roman"/>
          <w:sz w:val="14"/>
          <w:szCs w:val="14"/>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2.03 </w:t>
      </w:r>
      <w:r>
        <w:rPr>
          <w:rFonts w:ascii="Times New Roman" w:cs="Times New Roman" w:eastAsia="Times New Roman" w:hAnsi="Times New Roman"/>
          <w:sz w:val="14"/>
          <w:szCs w:val="14"/>
          <w:u w:val="single" w:color="auto"/>
          <w:color w:val="auto"/>
        </w:rPr>
        <w:t>Denominations; Provisions for Payment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59" w:firstLine="335"/>
        <w:spacing w:after="0" w:line="252" w:lineRule="auto"/>
        <w:rPr>
          <w:sz w:val="20"/>
          <w:szCs w:val="20"/>
          <w:color w:val="auto"/>
        </w:rPr>
      </w:pPr>
      <w:r>
        <w:rPr>
          <w:rFonts w:ascii="Times New Roman" w:cs="Times New Roman" w:eastAsia="Times New Roman" w:hAnsi="Times New Roman"/>
          <w:sz w:val="14"/>
          <w:szCs w:val="14"/>
          <w:color w:val="auto"/>
        </w:rPr>
        <w:t xml:space="preserve">The Securities shall be issuable as registered Securities and in the minimum denominations of one thousand U.S. dollars ($1,000) or any integral multiple of $1,000 thereof, subject to Section 2.01(a)(11). The Securities of a particular series shall bear interest payable on the dates and at the rate specified with respect to that series. Subject to </w:t>
      </w:r>
      <w:r>
        <w:rPr>
          <w:rFonts w:ascii="Times New Roman" w:cs="Times New Roman" w:eastAsia="Times New Roman" w:hAnsi="Times New Roman"/>
          <w:sz w:val="14"/>
          <w:szCs w:val="14"/>
          <w:u w:val="single" w:color="auto"/>
          <w:color w:val="auto"/>
        </w:rPr>
        <w:t>Section 2.01(a)(18)</w:t>
      </w:r>
      <w:r>
        <w:rPr>
          <w:rFonts w:ascii="Times New Roman" w:cs="Times New Roman" w:eastAsia="Times New Roman" w:hAnsi="Times New Roman"/>
          <w:sz w:val="14"/>
          <w:szCs w:val="14"/>
          <w:color w:val="auto"/>
        </w:rPr>
        <w:t>, the principal of and the interest on the Securities of any series, as well as any premium thereon in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9" w:right="1440" w:bottom="1440" w:gutter="0" w:footer="0" w:header="0"/>
        </w:sectPr>
      </w:pPr>
    </w:p>
    <w:bookmarkStart w:id="104" w:name="page105"/>
    <w:bookmarkEnd w:id="104"/>
    <w:p>
      <w:pPr>
        <w:jc w:val="both"/>
        <w:ind w:left="320" w:right="45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43" w:lineRule="exact"/>
        <w:rPr>
          <w:sz w:val="20"/>
          <w:szCs w:val="20"/>
          <w:color w:val="auto"/>
        </w:rPr>
      </w:pPr>
    </w:p>
    <w:p>
      <w:pPr>
        <w:ind w:left="320" w:right="359" w:firstLine="335"/>
        <w:spacing w:after="0" w:line="250" w:lineRule="auto"/>
        <w:rPr>
          <w:sz w:val="20"/>
          <w:szCs w:val="20"/>
          <w:color w:val="auto"/>
        </w:rPr>
      </w:pPr>
      <w:r>
        <w:rPr>
          <w:rFonts w:ascii="Times New Roman" w:cs="Times New Roman" w:eastAsia="Times New Roman" w:hAnsi="Times New Roman"/>
          <w:sz w:val="14"/>
          <w:szCs w:val="14"/>
          <w:color w:val="auto"/>
        </w:rPr>
        <w:t xml:space="preserve">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w:t>
      </w:r>
      <w:r>
        <w:rPr>
          <w:rFonts w:ascii="Times New Roman" w:cs="Times New Roman" w:eastAsia="Times New Roman" w:hAnsi="Times New Roman"/>
          <w:sz w:val="14"/>
          <w:szCs w:val="14"/>
          <w:u w:val="single" w:color="auto"/>
          <w:color w:val="auto"/>
        </w:rPr>
        <w:t>Section 3.03</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320" w:right="379" w:firstLine="335"/>
        <w:spacing w:after="0" w:line="284" w:lineRule="auto"/>
        <w:rPr>
          <w:sz w:val="20"/>
          <w:szCs w:val="20"/>
          <w:color w:val="auto"/>
        </w:rPr>
      </w:pPr>
      <w:r>
        <w:rPr>
          <w:rFonts w:ascii="Times New Roman" w:cs="Times New Roman" w:eastAsia="Times New Roman" w:hAnsi="Times New Roman"/>
          <w:sz w:val="13"/>
          <w:szCs w:val="13"/>
          <w:color w:val="auto"/>
        </w:rPr>
        <w:t>Any interest on any Security that is payable, but is not punctually paid or duly provided for, on any Interest Payment Date for Securities of the same series (herein called “</w:t>
      </w:r>
      <w:r>
        <w:rPr>
          <w:rFonts w:ascii="Times New Roman" w:cs="Times New Roman" w:eastAsia="Times New Roman" w:hAnsi="Times New Roman"/>
          <w:sz w:val="13"/>
          <w:szCs w:val="13"/>
          <w:b w:val="1"/>
          <w:bCs w:val="1"/>
          <w:color w:val="auto"/>
        </w:rPr>
        <w:t>Defaulted Interest</w:t>
      </w:r>
      <w:r>
        <w:rPr>
          <w:rFonts w:ascii="Times New Roman" w:cs="Times New Roman" w:eastAsia="Times New Roman" w:hAnsi="Times New Roman"/>
          <w:sz w:val="13"/>
          <w:szCs w:val="13"/>
          <w:color w:val="auto"/>
        </w:rPr>
        <w: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44" w:lineRule="exact"/>
        <w:rPr>
          <w:sz w:val="20"/>
          <w:szCs w:val="20"/>
          <w:color w:val="auto"/>
        </w:rPr>
      </w:pPr>
    </w:p>
    <w:p>
      <w:pPr>
        <w:ind w:left="660" w:right="339" w:firstLine="717"/>
        <w:spacing w:after="0" w:line="246" w:lineRule="auto"/>
        <w:tabs>
          <w:tab w:leader="none" w:pos="1577"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elect to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not be more than 15 nor less than 10 days prior to the date of the proposed payment and not less than 10 days after the receipt by the Trustee of the notice of the proposed payment. The Company shall promptly notify the Trustee in writing of such special record date and in such notice, instruct the Trustee to send such notice to holders, in the name and at the expense of the Company, shall cause notice of the proposed payment of such Defaulted Interest and the special record date therefor to be sent electronically or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on such special record date.</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105" w:name="page106"/>
    <w:bookmarkEnd w:id="105"/>
    <w:p>
      <w:pPr>
        <w:jc w:val="both"/>
        <w:ind w:left="660" w:right="359" w:firstLine="717"/>
        <w:spacing w:after="0" w:line="252" w:lineRule="auto"/>
        <w:tabs>
          <w:tab w:leader="none" w:pos="1577"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Company may make or cause to be made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45" w:lineRule="exact"/>
        <w:rPr>
          <w:sz w:val="20"/>
          <w:szCs w:val="20"/>
          <w:color w:val="auto"/>
        </w:rPr>
      </w:pPr>
    </w:p>
    <w:p>
      <w:pPr>
        <w:ind w:left="320" w:right="379" w:firstLine="335"/>
        <w:spacing w:after="0" w:line="249" w:lineRule="auto"/>
        <w:rPr>
          <w:sz w:val="20"/>
          <w:szCs w:val="20"/>
          <w:color w:val="auto"/>
        </w:rPr>
      </w:pPr>
      <w:r>
        <w:rPr>
          <w:rFonts w:ascii="Times New Roman" w:cs="Times New Roman" w:eastAsia="Times New Roman" w:hAnsi="Times New Roman"/>
          <w:sz w:val="14"/>
          <w:szCs w:val="14"/>
          <w:color w:val="auto"/>
        </w:rPr>
        <w:t xml:space="preserve">Unless otherwise set forth in a Board Resolution or one or more indentures supplemental hereto establishing the terms of any series of Securities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hereof, the term “regular record date” as used in this Section with respect to a series of Securities and any Interest Payment Date for such series shall mean either (i) the fifteenth day of the month immediately preceding the month in which an Interest Payment Date established for such series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hereof shall occur, if such Interest Payment Date is the first day of a month, or (ii) the first day of the month in which an Interest Payment Date established for such series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hereof shall occur, if such Interest Payment Date is the fifteenth day of a month, whether or not such date is a Business Day.</w:t>
      </w:r>
    </w:p>
    <w:p>
      <w:pPr>
        <w:spacing w:after="0" w:line="147" w:lineRule="exact"/>
        <w:rPr>
          <w:sz w:val="20"/>
          <w:szCs w:val="20"/>
          <w:color w:val="auto"/>
        </w:rPr>
      </w:pPr>
    </w:p>
    <w:p>
      <w:pPr>
        <w:jc w:val="both"/>
        <w:ind w:left="320" w:right="459" w:firstLine="335"/>
        <w:spacing w:after="0" w:line="305" w:lineRule="auto"/>
        <w:rPr>
          <w:sz w:val="20"/>
          <w:szCs w:val="20"/>
          <w:color w:val="auto"/>
        </w:rPr>
      </w:pPr>
      <w:r>
        <w:rPr>
          <w:rFonts w:ascii="Times New Roman" w:cs="Times New Roman" w:eastAsia="Times New Roman" w:hAnsi="Times New Roman"/>
          <w:sz w:val="13"/>
          <w:szCs w:val="13"/>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2.04 </w:t>
      </w:r>
      <w:r>
        <w:rPr>
          <w:rFonts w:ascii="Times New Roman" w:cs="Times New Roman" w:eastAsia="Times New Roman" w:hAnsi="Times New Roman"/>
          <w:sz w:val="14"/>
          <w:szCs w:val="14"/>
          <w:u w:val="single" w:color="auto"/>
          <w:color w:val="auto"/>
        </w:rPr>
        <w:t>Execution and Authentications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The Securities shall be signed on behalf of the Company by one of its Officers. Signatures may be in the form of a manual or facsimile signature.</w:t>
      </w:r>
    </w:p>
    <w:p>
      <w:pPr>
        <w:spacing w:after="0" w:line="179" w:lineRule="exact"/>
        <w:rPr>
          <w:sz w:val="20"/>
          <w:szCs w:val="20"/>
          <w:color w:val="auto"/>
        </w:rPr>
      </w:pPr>
    </w:p>
    <w:p>
      <w:pPr>
        <w:ind w:left="320" w:right="499" w:firstLine="335"/>
        <w:spacing w:after="0" w:line="252" w:lineRule="auto"/>
        <w:rPr>
          <w:sz w:val="20"/>
          <w:szCs w:val="20"/>
          <w:color w:val="auto"/>
        </w:rPr>
      </w:pPr>
      <w:r>
        <w:rPr>
          <w:rFonts w:ascii="Times New Roman" w:cs="Times New Roman" w:eastAsia="Times New Roman" w:hAnsi="Times New Roman"/>
          <w:sz w:val="14"/>
          <w:szCs w:val="14"/>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45" w:lineRule="exact"/>
        <w:rPr>
          <w:sz w:val="20"/>
          <w:szCs w:val="20"/>
          <w:color w:val="auto"/>
        </w:rPr>
      </w:pPr>
    </w:p>
    <w:p>
      <w:pPr>
        <w:ind w:left="320" w:right="419" w:firstLine="335"/>
        <w:spacing w:after="0" w:line="274" w:lineRule="auto"/>
        <w:rPr>
          <w:sz w:val="20"/>
          <w:szCs w:val="20"/>
          <w:color w:val="auto"/>
        </w:rPr>
      </w:pPr>
      <w:r>
        <w:rPr>
          <w:rFonts w:ascii="Times New Roman" w:cs="Times New Roman" w:eastAsia="Times New Roman" w:hAnsi="Times New Roman"/>
          <w:sz w:val="13"/>
          <w:szCs w:val="13"/>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Company Order for the authentication and delivery of such Securities, signed by an Officer, and the Trustee in accordance with such Company Order shall authenticate and deliver such Securities.</w:t>
      </w:r>
    </w:p>
    <w:p>
      <w:pPr>
        <w:spacing w:after="0" w:line="131" w:lineRule="exact"/>
        <w:rPr>
          <w:sz w:val="20"/>
          <w:szCs w:val="20"/>
          <w:color w:val="auto"/>
        </w:rPr>
      </w:pPr>
    </w:p>
    <w:p>
      <w:pPr>
        <w:ind w:left="320" w:right="459" w:firstLine="335"/>
        <w:spacing w:after="0" w:line="274" w:lineRule="auto"/>
        <w:rPr>
          <w:sz w:val="20"/>
          <w:szCs w:val="20"/>
          <w:color w:val="auto"/>
        </w:rPr>
      </w:pPr>
      <w:r>
        <w:rPr>
          <w:rFonts w:ascii="Times New Roman" w:cs="Times New Roman" w:eastAsia="Times New Roman" w:hAnsi="Times New Roman"/>
          <w:sz w:val="13"/>
          <w:szCs w:val="13"/>
          <w:color w:val="auto"/>
        </w:rPr>
        <w:t xml:space="preserve">In authenticating such Securities and accepting the additional responsibilities under this Indenture in relation to such Securities, the Trustee shall receive, and (subject to </w:t>
      </w:r>
      <w:r>
        <w:rPr>
          <w:rFonts w:ascii="Times New Roman" w:cs="Times New Roman" w:eastAsia="Times New Roman" w:hAnsi="Times New Roman"/>
          <w:sz w:val="13"/>
          <w:szCs w:val="13"/>
          <w:u w:val="single" w:color="auto"/>
          <w:color w:val="auto"/>
        </w:rPr>
        <w:t>Section 7.01</w:t>
      </w:r>
      <w:r>
        <w:rPr>
          <w:rFonts w:ascii="Times New Roman" w:cs="Times New Roman" w:eastAsia="Times New Roman" w:hAnsi="Times New Roman"/>
          <w:sz w:val="13"/>
          <w:szCs w:val="13"/>
          <w:color w:val="auto"/>
        </w:rPr>
        <w:t>) shall be fully protected in conclusively relying upon, an Officer’s Certificate and an Opinion of Counsel stating that the form and terms thereof have been established in conformity with the provisions of this Indenture, that all conditions precedent in connection with the issuance, authentication and delivery of such Securities have been met and that such Securities are legal, valid and binding obligations against the Company, enforceable against it in accordance with its terms, subject to customary exceptions and qualifications.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106" w:name="page107"/>
    <w:bookmarkEnd w:id="106"/>
    <w:p>
      <w:pPr>
        <w:ind w:left="320" w:right="479" w:firstLine="335"/>
        <w:spacing w:after="0" w:line="30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2.05 </w:t>
      </w:r>
      <w:r>
        <w:rPr>
          <w:rFonts w:ascii="Times New Roman" w:cs="Times New Roman" w:eastAsia="Times New Roman" w:hAnsi="Times New Roman"/>
          <w:sz w:val="14"/>
          <w:szCs w:val="14"/>
          <w:u w:val="single" w:color="auto"/>
          <w:color w:val="auto"/>
        </w:rPr>
        <w:t>Registration of Transfer and Exchange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19" w:firstLine="752"/>
        <w:spacing w:after="0" w:line="274" w:lineRule="auto"/>
        <w:tabs>
          <w:tab w:leader="none" w:pos="1259"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31" w:lineRule="exact"/>
        <w:rPr>
          <w:rFonts w:ascii="Times New Roman" w:cs="Times New Roman" w:eastAsia="Times New Roman" w:hAnsi="Times New Roman"/>
          <w:sz w:val="13"/>
          <w:szCs w:val="13"/>
          <w:color w:val="auto"/>
        </w:rPr>
      </w:pPr>
    </w:p>
    <w:p>
      <w:pPr>
        <w:ind w:left="320" w:right="419" w:firstLine="752"/>
        <w:spacing w:after="0" w:line="250" w:lineRule="auto"/>
        <w:tabs>
          <w:tab w:leader="none" w:pos="1267"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keep, or cause to be kept, at its office or agency designated for such purpose a register or registers (herein referred to as the “</w:t>
      </w:r>
      <w:r>
        <w:rPr>
          <w:rFonts w:ascii="Times New Roman" w:cs="Times New Roman" w:eastAsia="Times New Roman" w:hAnsi="Times New Roman"/>
          <w:sz w:val="14"/>
          <w:szCs w:val="14"/>
          <w:b w:val="1"/>
          <w:bCs w:val="1"/>
          <w:color w:val="auto"/>
        </w:rPr>
        <w:t>Security Register</w:t>
      </w:r>
      <w:r>
        <w:rPr>
          <w:rFonts w:ascii="Times New Roman" w:cs="Times New Roman" w:eastAsia="Times New Roman" w:hAnsi="Times New Roman"/>
          <w:sz w:val="14"/>
          <w:szCs w:val="14"/>
          <w:color w:val="auto"/>
        </w:rPr>
        <w:t>”)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w:t>
      </w:r>
      <w:r>
        <w:rPr>
          <w:rFonts w:ascii="Times New Roman" w:cs="Times New Roman" w:eastAsia="Times New Roman" w:hAnsi="Times New Roman"/>
          <w:sz w:val="14"/>
          <w:szCs w:val="14"/>
          <w:b w:val="1"/>
          <w:bCs w:val="1"/>
          <w:color w:val="auto"/>
        </w:rPr>
        <w:t>Security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Registrar</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320" w:right="479" w:firstLine="335"/>
        <w:spacing w:after="0" w:line="255" w:lineRule="auto"/>
        <w:rPr>
          <w:sz w:val="20"/>
          <w:szCs w:val="20"/>
          <w:color w:val="auto"/>
        </w:rPr>
      </w:pPr>
      <w:r>
        <w:rPr>
          <w:rFonts w:ascii="Times New Roman" w:cs="Times New Roman" w:eastAsia="Times New Roman" w:hAnsi="Times New Roman"/>
          <w:sz w:val="14"/>
          <w:szCs w:val="14"/>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43" w:lineRule="exact"/>
        <w:rPr>
          <w:sz w:val="20"/>
          <w:szCs w:val="20"/>
          <w:color w:val="auto"/>
        </w:rPr>
      </w:pPr>
    </w:p>
    <w:p>
      <w:pPr>
        <w:jc w:val="both"/>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t>All Securities presented or surrendered for exchange or registration of transfer, as provided in this Section, shall be accompanied (if so required by the Company or the Security Registrar ) by a written instrument or instruments of transfer, in form satisfactory to the Company or the Security Registrar, duly executed by the registered holder or by such holder’s duly authorized attorney in writing.</w:t>
      </w:r>
    </w:p>
    <w:p>
      <w:pPr>
        <w:spacing w:after="0" w:line="143" w:lineRule="exact"/>
        <w:rPr>
          <w:sz w:val="20"/>
          <w:szCs w:val="20"/>
          <w:color w:val="auto"/>
        </w:rPr>
      </w:pPr>
    </w:p>
    <w:p>
      <w:pPr>
        <w:ind w:left="320" w:right="339" w:firstLine="752"/>
        <w:spacing w:after="0" w:line="277" w:lineRule="auto"/>
        <w:tabs>
          <w:tab w:leader="none" w:pos="1259"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provided pursuant to </w:t>
      </w:r>
      <w:r>
        <w:rPr>
          <w:rFonts w:ascii="Times New Roman" w:cs="Times New Roman" w:eastAsia="Times New Roman" w:hAnsi="Times New Roman"/>
          <w:sz w:val="13"/>
          <w:szCs w:val="13"/>
          <w:u w:val="single" w:color="auto"/>
          <w:color w:val="auto"/>
        </w:rPr>
        <w:t>Section 2.01</w:t>
      </w:r>
      <w:r>
        <w:rPr>
          <w:rFonts w:ascii="Times New Roman" w:cs="Times New Roman" w:eastAsia="Times New Roman" w:hAnsi="Times New Roman"/>
          <w:sz w:val="13"/>
          <w:szCs w:val="13"/>
          <w:color w:val="auto"/>
        </w:rPr>
        <w:t xml:space="preserve">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w:t>
      </w:r>
      <w:r>
        <w:rPr>
          <w:rFonts w:ascii="Times New Roman" w:cs="Times New Roman" w:eastAsia="Times New Roman" w:hAnsi="Times New Roman"/>
          <w:sz w:val="13"/>
          <w:szCs w:val="13"/>
          <w:u w:val="single" w:color="auto"/>
          <w:color w:val="auto"/>
        </w:rPr>
        <w:t>Section 2.06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3.03(b)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9.04</w:t>
      </w:r>
      <w:r>
        <w:rPr>
          <w:rFonts w:ascii="Times New Roman" w:cs="Times New Roman" w:eastAsia="Times New Roman" w:hAnsi="Times New Roman"/>
          <w:sz w:val="13"/>
          <w:szCs w:val="13"/>
          <w:color w:val="auto"/>
        </w:rPr>
        <w:t xml:space="preserve"> not involving any transfer.</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107" w:name="page108"/>
    <w:bookmarkEnd w:id="107"/>
    <w:p>
      <w:pPr>
        <w:ind w:left="320" w:right="419" w:firstLine="752"/>
        <w:spacing w:after="0" w:line="250" w:lineRule="auto"/>
        <w:tabs>
          <w:tab w:leader="none" w:pos="1267"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w:t>
      </w:r>
      <w:r>
        <w:rPr>
          <w:rFonts w:ascii="Times New Roman" w:cs="Times New Roman" w:eastAsia="Times New Roman" w:hAnsi="Times New Roman"/>
          <w:sz w:val="14"/>
          <w:szCs w:val="14"/>
          <w:u w:val="single" w:color="auto"/>
          <w:color w:val="auto"/>
        </w:rPr>
        <w:t>Section 2.05</w:t>
      </w:r>
      <w:r>
        <w:rPr>
          <w:rFonts w:ascii="Times New Roman" w:cs="Times New Roman" w:eastAsia="Times New Roman" w:hAnsi="Times New Roman"/>
          <w:sz w:val="14"/>
          <w:szCs w:val="14"/>
          <w:color w:val="auto"/>
        </w:rPr>
        <w:t xml:space="preserve"> are, with respect to any Global Security, subject to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hereof.</w:t>
      </w:r>
    </w:p>
    <w:p>
      <w:pPr>
        <w:spacing w:after="0" w:line="146" w:lineRule="exact"/>
        <w:rPr>
          <w:sz w:val="20"/>
          <w:szCs w:val="20"/>
          <w:color w:val="auto"/>
        </w:rPr>
      </w:pPr>
    </w:p>
    <w:p>
      <w:pPr>
        <w:ind w:left="320" w:right="359" w:firstLine="335"/>
        <w:spacing w:after="0" w:line="250" w:lineRule="auto"/>
        <w:rPr>
          <w:sz w:val="20"/>
          <w:szCs w:val="20"/>
          <w:color w:val="auto"/>
        </w:rPr>
      </w:pPr>
      <w:r>
        <w:rPr>
          <w:rFonts w:ascii="Times New Roman" w:cs="Times New Roman" w:eastAsia="Times New Roman" w:hAnsi="Times New Roman"/>
          <w:sz w:val="14"/>
          <w:szCs w:val="14"/>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Neither the Trustee nor any Agent shall have any responsibility or liability for any actions taken or not taken by the Depositary.</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2.06 </w:t>
      </w:r>
      <w:r>
        <w:rPr>
          <w:rFonts w:ascii="Times New Roman" w:cs="Times New Roman" w:eastAsia="Times New Roman" w:hAnsi="Times New Roman"/>
          <w:sz w:val="14"/>
          <w:szCs w:val="14"/>
          <w:u w:val="single" w:color="auto"/>
          <w:color w:val="auto"/>
        </w:rPr>
        <w:t>Temporary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335"/>
        <w:spacing w:after="0" w:line="267" w:lineRule="auto"/>
        <w:rPr>
          <w:sz w:val="20"/>
          <w:szCs w:val="20"/>
          <w:color w:val="auto"/>
        </w:rPr>
      </w:pPr>
      <w:r>
        <w:rPr>
          <w:rFonts w:ascii="Times New Roman" w:cs="Times New Roman" w:eastAsia="Times New Roman" w:hAnsi="Times New Roman"/>
          <w:sz w:val="13"/>
          <w:szCs w:val="13"/>
          <w:color w:val="auto"/>
        </w:rPr>
        <w:t>Pending the preparation of definitive Securities of any series, the Company may execute, and the Trustee shall, upon receipt of a Company Order,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upon receipt of a Company Order,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2.07 </w:t>
      </w:r>
      <w:r>
        <w:rPr>
          <w:rFonts w:ascii="Times New Roman" w:cs="Times New Roman" w:eastAsia="Times New Roman" w:hAnsi="Times New Roman"/>
          <w:sz w:val="14"/>
          <w:szCs w:val="14"/>
          <w:u w:val="single" w:color="auto"/>
          <w:color w:val="auto"/>
        </w:rPr>
        <w:t>Mutilated, Destroyed, Lost or Stolen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79" w:firstLine="335"/>
        <w:spacing w:after="0" w:line="255" w:lineRule="auto"/>
        <w:rPr>
          <w:sz w:val="20"/>
          <w:szCs w:val="20"/>
          <w:color w:val="auto"/>
        </w:rPr>
      </w:pPr>
      <w:r>
        <w:rPr>
          <w:rFonts w:ascii="Times New Roman" w:cs="Times New Roman" w:eastAsia="Times New Roman" w:hAnsi="Times New Roman"/>
          <w:sz w:val="14"/>
          <w:szCs w:val="14"/>
          <w:color w:val="auto"/>
        </w:rPr>
        <w:t>In case any temporary or definitive Security shall become mutilated or be destroyed, lost or stolen, the Company (subject to the next succeeding sentence) shall execute, and upon receipt of a Company Order the Trustee (subject as aforesaid) shall authenticate and deliver, a new Security of the same series, bearing a number not contemporaneously outstanding, in exchange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108" w:name="page109"/>
    <w:bookmarkEnd w:id="108"/>
    <w:p>
      <w:pPr>
        <w:ind w:left="320" w:right="339"/>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receipt of a Company Order.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49"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In case any Security that has or is about to become due and payable, whether upon maturity of the Securities of a series or upon declaration or otherwise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46" w:lineRule="exact"/>
        <w:rPr>
          <w:sz w:val="20"/>
          <w:szCs w:val="20"/>
          <w:color w:val="auto"/>
        </w:rPr>
      </w:pPr>
    </w:p>
    <w:p>
      <w:pPr>
        <w:ind w:left="320" w:right="439" w:firstLine="335"/>
        <w:spacing w:after="0" w:line="248" w:lineRule="auto"/>
        <w:rPr>
          <w:sz w:val="20"/>
          <w:szCs w:val="20"/>
          <w:color w:val="auto"/>
        </w:rPr>
      </w:pPr>
      <w:r>
        <w:rPr>
          <w:rFonts w:ascii="Times New Roman" w:cs="Times New Roman" w:eastAsia="Times New Roman" w:hAnsi="Times New Roman"/>
          <w:sz w:val="14"/>
          <w:szCs w:val="14"/>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2.08 </w:t>
      </w:r>
      <w:r>
        <w:rPr>
          <w:rFonts w:ascii="Times New Roman" w:cs="Times New Roman" w:eastAsia="Times New Roman" w:hAnsi="Times New Roman"/>
          <w:sz w:val="14"/>
          <w:szCs w:val="14"/>
          <w:u w:val="single" w:color="auto"/>
          <w:color w:val="auto"/>
        </w:rPr>
        <w:t>Cancellation</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written request of the Company at the time of such surrender, the Trustee shall deliver to the Company evidence of cancellation for such canceled Securities held by the Trustee. The Trustee shall cancel and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9" w:right="1440" w:bottom="1440" w:gutter="0" w:footer="0" w:header="0"/>
        </w:sectPr>
      </w:pPr>
    </w:p>
    <w:bookmarkStart w:id="109" w:name="page110"/>
    <w:bookmarkEnd w:id="109"/>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2.09 </w:t>
      </w:r>
      <w:r>
        <w:rPr>
          <w:rFonts w:ascii="Times New Roman" w:cs="Times New Roman" w:eastAsia="Times New Roman" w:hAnsi="Times New Roman"/>
          <w:sz w:val="14"/>
          <w:szCs w:val="14"/>
          <w:u w:val="single" w:color="auto"/>
          <w:color w:val="auto"/>
        </w:rPr>
        <w:t>Benefits of Indenture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249" w:lineRule="auto"/>
        <w:rPr>
          <w:sz w:val="20"/>
          <w:szCs w:val="20"/>
          <w:color w:val="auto"/>
        </w:rPr>
      </w:pPr>
      <w:r>
        <w:rPr>
          <w:rFonts w:ascii="Times New Roman" w:cs="Times New Roman" w:eastAsia="Times New Roman" w:hAnsi="Times New Roman"/>
          <w:sz w:val="14"/>
          <w:szCs w:val="14"/>
          <w:color w:val="auto"/>
        </w:rPr>
        <w:t>Nothing in this Indenture or in the Securities, express or implied, shall give or be construed to give to any Person, other than the parties hereto and the holders of the Securities (and, with respect to the provisions of Article 14, the holders of any indebtedness of the Company to which the Securities of any series are subordinated)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Article 14, the holders of any indebtedness of the Company to which the Securities of any series are subordinated).</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2.10 </w:t>
      </w:r>
      <w:r>
        <w:rPr>
          <w:rFonts w:ascii="Times New Roman" w:cs="Times New Roman" w:eastAsia="Times New Roman" w:hAnsi="Times New Roman"/>
          <w:sz w:val="14"/>
          <w:szCs w:val="14"/>
          <w:u w:val="single" w:color="auto"/>
          <w:color w:val="auto"/>
        </w:rPr>
        <w:t>Authenticating Agent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50" w:lineRule="exact"/>
        <w:rPr>
          <w:sz w:val="20"/>
          <w:szCs w:val="20"/>
          <w:color w:val="auto"/>
        </w:rPr>
      </w:pPr>
    </w:p>
    <w:p>
      <w:pPr>
        <w:ind w:left="320" w:right="459" w:firstLine="335"/>
        <w:spacing w:after="0" w:line="249" w:lineRule="auto"/>
        <w:rPr>
          <w:sz w:val="20"/>
          <w:szCs w:val="20"/>
          <w:color w:val="auto"/>
        </w:rPr>
      </w:pPr>
      <w:r>
        <w:rPr>
          <w:rFonts w:ascii="Times New Roman" w:cs="Times New Roman" w:eastAsia="Times New Roman" w:hAnsi="Times New Roman"/>
          <w:sz w:val="14"/>
          <w:szCs w:val="14"/>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2.11 </w:t>
      </w:r>
      <w:r>
        <w:rPr>
          <w:rFonts w:ascii="Times New Roman" w:cs="Times New Roman" w:eastAsia="Times New Roman" w:hAnsi="Times New Roman"/>
          <w:sz w:val="14"/>
          <w:szCs w:val="14"/>
          <w:u w:val="single" w:color="auto"/>
          <w:color w:val="auto"/>
        </w:rPr>
        <w:t>Global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752"/>
        <w:spacing w:after="0" w:line="248" w:lineRule="auto"/>
        <w:tabs>
          <w:tab w:leader="none" w:pos="1259"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Company shall establish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that the Securities of a particular series are to be issued as a Global Security, then the Company shall execute and the Trustee shall, in accordance with </w:t>
      </w:r>
      <w:r>
        <w:rPr>
          <w:rFonts w:ascii="Times New Roman" w:cs="Times New Roman" w:eastAsia="Times New Roman" w:hAnsi="Times New Roman"/>
          <w:sz w:val="14"/>
          <w:szCs w:val="14"/>
          <w:u w:val="single" w:color="auto"/>
          <w:color w:val="auto"/>
        </w:rPr>
        <w:t>Section 2.04</w:t>
      </w:r>
      <w:r>
        <w:rPr>
          <w:rFonts w:ascii="Times New Roman" w:cs="Times New Roman" w:eastAsia="Times New Roman" w:hAnsi="Times New Roman"/>
          <w:sz w:val="14"/>
          <w:szCs w:val="14"/>
          <w:color w:val="auto"/>
        </w:rPr>
        <w:t xml:space="preserve">,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held by it, pursuant to the Depositary’s instruction and (iv) shall bear a legend substantially to the following effect: “Except as otherwise provided in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of the Indenture, this Security may be transferred, in whole but not in part, only to another nominee of the Depositary or to a successor Depositary or to a nominee of such successor Depositary.”</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110" w:name="page111"/>
    <w:bookmarkEnd w:id="110"/>
    <w:p>
      <w:pPr>
        <w:ind w:left="320" w:right="479" w:firstLine="752"/>
        <w:spacing w:after="0" w:line="255" w:lineRule="auto"/>
        <w:tabs>
          <w:tab w:leader="none" w:pos="1267"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Notwithstanding the provisions of </w:t>
      </w:r>
      <w:r>
        <w:rPr>
          <w:rFonts w:ascii="Times New Roman" w:cs="Times New Roman" w:eastAsia="Times New Roman" w:hAnsi="Times New Roman"/>
          <w:sz w:val="14"/>
          <w:szCs w:val="14"/>
          <w:u w:val="single" w:color="auto"/>
          <w:color w:val="auto"/>
        </w:rPr>
        <w:t>Section 2.05</w:t>
      </w:r>
      <w:r>
        <w:rPr>
          <w:rFonts w:ascii="Times New Roman" w:cs="Times New Roman" w:eastAsia="Times New Roman" w:hAnsi="Times New Roman"/>
          <w:sz w:val="14"/>
          <w:szCs w:val="14"/>
          <w:color w:val="auto"/>
        </w:rPr>
        <w:t xml:space="preserve">, the Global Security of a series may be transferred, in whole but not in part and in the manner provided in </w:t>
      </w:r>
      <w:r>
        <w:rPr>
          <w:rFonts w:ascii="Times New Roman" w:cs="Times New Roman" w:eastAsia="Times New Roman" w:hAnsi="Times New Roman"/>
          <w:sz w:val="14"/>
          <w:szCs w:val="14"/>
          <w:u w:val="single" w:color="auto"/>
          <w:color w:val="auto"/>
        </w:rPr>
        <w:t>Section 2.05</w:t>
      </w:r>
      <w:r>
        <w:rPr>
          <w:rFonts w:ascii="Times New Roman" w:cs="Times New Roman" w:eastAsia="Times New Roman" w:hAnsi="Times New Roman"/>
          <w:sz w:val="14"/>
          <w:szCs w:val="14"/>
          <w:color w:val="auto"/>
        </w:rPr>
        <w:t>, only to another nominee of the Depositary for such series, or to a successor Depositary for such series selected or approved by the Company or to a nominee of such successor Depositary.</w:t>
      </w:r>
    </w:p>
    <w:p>
      <w:pPr>
        <w:spacing w:after="0" w:line="143" w:lineRule="exact"/>
        <w:rPr>
          <w:rFonts w:ascii="Times New Roman" w:cs="Times New Roman" w:eastAsia="Times New Roman" w:hAnsi="Times New Roman"/>
          <w:sz w:val="14"/>
          <w:szCs w:val="14"/>
          <w:color w:val="auto"/>
        </w:rPr>
      </w:pPr>
    </w:p>
    <w:p>
      <w:pPr>
        <w:ind w:left="320" w:right="339" w:firstLine="752"/>
        <w:spacing w:after="0" w:line="246" w:lineRule="auto"/>
        <w:tabs>
          <w:tab w:leader="none" w:pos="1259"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shall no longer be applicable to the Securities of such series and the Company will execute, and subject to </w:t>
      </w:r>
      <w:r>
        <w:rPr>
          <w:rFonts w:ascii="Times New Roman" w:cs="Times New Roman" w:eastAsia="Times New Roman" w:hAnsi="Times New Roman"/>
          <w:sz w:val="14"/>
          <w:szCs w:val="14"/>
          <w:u w:val="single" w:color="auto"/>
          <w:color w:val="auto"/>
        </w:rPr>
        <w:t>Section 2.04</w:t>
      </w:r>
      <w:r>
        <w:rPr>
          <w:rFonts w:ascii="Times New Roman" w:cs="Times New Roman" w:eastAsia="Times New Roman" w:hAnsi="Times New Roman"/>
          <w:sz w:val="14"/>
          <w:szCs w:val="14"/>
          <w:color w:val="auto"/>
        </w:rPr>
        <w:t xml:space="preserve">,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shall no longer apply to the Securities of such series. In such event the Company will execute and, subject to </w:t>
      </w:r>
      <w:r>
        <w:rPr>
          <w:rFonts w:ascii="Times New Roman" w:cs="Times New Roman" w:eastAsia="Times New Roman" w:hAnsi="Times New Roman"/>
          <w:sz w:val="14"/>
          <w:szCs w:val="14"/>
          <w:u w:val="single" w:color="auto"/>
          <w:color w:val="auto"/>
        </w:rPr>
        <w:t>Section 2.04</w:t>
      </w:r>
      <w:r>
        <w:rPr>
          <w:rFonts w:ascii="Times New Roman" w:cs="Times New Roman" w:eastAsia="Times New Roman" w:hAnsi="Times New Roman"/>
          <w:sz w:val="14"/>
          <w:szCs w:val="14"/>
          <w:color w:val="auto"/>
        </w:rPr>
        <w:t xml:space="preserve">, the Trustee, upon receipt of an Officer’s Certificate and a Company Order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w:t>
      </w:r>
      <w:r>
        <w:rPr>
          <w:rFonts w:ascii="Times New Roman" w:cs="Times New Roman" w:eastAsia="Times New Roman" w:hAnsi="Times New Roman"/>
          <w:sz w:val="14"/>
          <w:szCs w:val="14"/>
          <w:u w:val="single" w:color="auto"/>
          <w:color w:val="auto"/>
        </w:rPr>
        <w:t>Section 2.11(c)</w:t>
      </w:r>
      <w:r>
        <w:rPr>
          <w:rFonts w:ascii="Times New Roman" w:cs="Times New Roman" w:eastAsia="Times New Roman" w:hAnsi="Times New Roman"/>
          <w:sz w:val="14"/>
          <w:szCs w:val="14"/>
          <w:color w:val="auto"/>
        </w:rPr>
        <w:t xml:space="preserve"> shall be registered in such names and in such authorized denominations as the Depositary, pursuant to instructions from its direct or indirect participants or otherwise, shall instruct the Trustee in writing. The Trustee shall deliver such Securities to the Depositary for delivery to the Persons in whose names such Securities are so registered.</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3</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REDEMPTION OF SECURITIES AND SINKING FUND PROVISIONS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3.01 </w:t>
      </w:r>
      <w:r>
        <w:rPr>
          <w:rFonts w:ascii="Times New Roman" w:cs="Times New Roman" w:eastAsia="Times New Roman" w:hAnsi="Times New Roman"/>
          <w:sz w:val="14"/>
          <w:szCs w:val="14"/>
          <w:u w:val="single" w:color="auto"/>
          <w:color w:val="auto"/>
        </w:rPr>
        <w:t>Redemption</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539" w:firstLine="335"/>
        <w:spacing w:after="0" w:line="266" w:lineRule="auto"/>
        <w:rPr>
          <w:sz w:val="20"/>
          <w:szCs w:val="20"/>
          <w:color w:val="auto"/>
        </w:rPr>
      </w:pPr>
      <w:r>
        <w:rPr>
          <w:rFonts w:ascii="Times New Roman" w:cs="Times New Roman" w:eastAsia="Times New Roman" w:hAnsi="Times New Roman"/>
          <w:sz w:val="14"/>
          <w:szCs w:val="14"/>
          <w:color w:val="auto"/>
        </w:rPr>
        <w:t xml:space="preserve">The Company may redeem the Securities of any series issued hereunder on and after the dates and in accordance with the terms established for such series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hereof.</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9" w:right="1440" w:bottom="1440" w:gutter="0" w:footer="0" w:header="0"/>
        </w:sectPr>
      </w:pPr>
    </w:p>
    <w:bookmarkStart w:id="111" w:name="page112"/>
    <w:bookmarkEnd w:id="111"/>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3.02 </w:t>
      </w:r>
      <w:r>
        <w:rPr>
          <w:rFonts w:ascii="Times New Roman" w:cs="Times New Roman" w:eastAsia="Times New Roman" w:hAnsi="Times New Roman"/>
          <w:sz w:val="14"/>
          <w:szCs w:val="14"/>
          <w:u w:val="single" w:color="auto"/>
          <w:color w:val="auto"/>
        </w:rPr>
        <w:t>Notice of Redemption</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752"/>
        <w:spacing w:after="0" w:line="267" w:lineRule="auto"/>
        <w:tabs>
          <w:tab w:leader="none" w:pos="1259"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case the Company shall desire to exercise such right to redeem all or, as the case may be, a portion of the Securities of any series in accordance with any right the Company reserved for itself to do so pursuant to </w:t>
      </w:r>
      <w:r>
        <w:rPr>
          <w:rFonts w:ascii="Times New Roman" w:cs="Times New Roman" w:eastAsia="Times New Roman" w:hAnsi="Times New Roman"/>
          <w:sz w:val="13"/>
          <w:szCs w:val="13"/>
          <w:u w:val="single" w:color="auto"/>
          <w:color w:val="auto"/>
        </w:rPr>
        <w:t>Section 2.01</w:t>
      </w:r>
      <w:r>
        <w:rPr>
          <w:rFonts w:ascii="Times New Roman" w:cs="Times New Roman" w:eastAsia="Times New Roman" w:hAnsi="Times New Roman"/>
          <w:sz w:val="13"/>
          <w:szCs w:val="13"/>
          <w:color w:val="auto"/>
        </w:rPr>
        <w:t xml:space="preserve"> hereof, the Company shall, or shall cause the Trustee (upon 5 Business Days written notice, unless a shorter period shall be satisfactory to the Trustee) to, give notice of such redemption to holders of the Securities of such series to be redeemed by mailing, electronically or by first class postage prepaid mail, a notice of such redemption not less than 15 days and not more than 90 days, except that redemption notices may be sent more than 90 days prior to the redemption date if the notice is issued in connection with a defeasance of the Securities or a satisfaction and discharge, before the date fixed for redemption of that series to such holders ( with a copy to the Trustee)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38" w:lineRule="exact"/>
        <w:rPr>
          <w:sz w:val="20"/>
          <w:szCs w:val="20"/>
          <w:color w:val="auto"/>
        </w:rPr>
      </w:pPr>
    </w:p>
    <w:p>
      <w:pPr>
        <w:ind w:left="320" w:right="339" w:firstLine="335"/>
        <w:spacing w:after="0" w:line="249" w:lineRule="auto"/>
        <w:rPr>
          <w:sz w:val="20"/>
          <w:szCs w:val="20"/>
          <w:color w:val="auto"/>
        </w:rPr>
      </w:pPr>
      <w:r>
        <w:rPr>
          <w:rFonts w:ascii="Times New Roman" w:cs="Times New Roman" w:eastAsia="Times New Roman" w:hAnsi="Times New Roman"/>
          <w:sz w:val="14"/>
          <w:szCs w:val="14"/>
          <w:color w:val="auto"/>
        </w:rPr>
        <w:t>Each such notice of redemption shall specify the date fixed for redemption, if applicable, any record date with respect to such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47" w:lineRule="exact"/>
        <w:rPr>
          <w:sz w:val="20"/>
          <w:szCs w:val="20"/>
          <w:color w:val="auto"/>
        </w:rPr>
      </w:pPr>
    </w:p>
    <w:p>
      <w:pPr>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43" w:lineRule="exact"/>
        <w:rPr>
          <w:sz w:val="20"/>
          <w:szCs w:val="20"/>
          <w:color w:val="auto"/>
        </w:rPr>
      </w:pPr>
    </w:p>
    <w:p>
      <w:pPr>
        <w:ind w:left="320" w:right="339" w:firstLine="752"/>
        <w:spacing w:after="0" w:line="247" w:lineRule="auto"/>
        <w:tabs>
          <w:tab w:leader="none" w:pos="1267"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less than all the Securities of a series are to be redeemed, the Company shall give the Trustee at least 20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subject to the applicable procedures of the Depositary)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send</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0" w:right="1440" w:bottom="1440" w:gutter="0" w:footer="0" w:header="0"/>
        </w:sectPr>
      </w:pPr>
    </w:p>
    <w:bookmarkStart w:id="112" w:name="page113"/>
    <w:bookmarkEnd w:id="112"/>
    <w:p>
      <w:pPr>
        <w:ind w:left="320" w:right="559"/>
        <w:spacing w:after="0" w:line="27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notice of redemption in the manner set forth in this Section, such notice to be in the name and at the expense of the Company. In any case in which notice of redemption is to be sent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3.03 </w:t>
      </w:r>
      <w:r>
        <w:rPr>
          <w:rFonts w:ascii="Times New Roman" w:cs="Times New Roman" w:eastAsia="Times New Roman" w:hAnsi="Times New Roman"/>
          <w:sz w:val="14"/>
          <w:szCs w:val="14"/>
          <w:u w:val="single" w:color="auto"/>
          <w:color w:val="auto"/>
        </w:rPr>
        <w:t>Payment Upon Redemption</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752"/>
        <w:spacing w:after="0" w:line="247" w:lineRule="auto"/>
        <w:tabs>
          <w:tab w:leader="none" w:pos="1259"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w:t>
      </w:r>
      <w:r>
        <w:rPr>
          <w:rFonts w:ascii="Times New Roman" w:cs="Times New Roman" w:eastAsia="Times New Roman" w:hAnsi="Times New Roman"/>
          <w:sz w:val="14"/>
          <w:szCs w:val="14"/>
          <w:u w:val="single" w:color="auto"/>
          <w:color w:val="auto"/>
        </w:rPr>
        <w:t>Section 2.03</w:t>
      </w:r>
      <w:r>
        <w:rPr>
          <w:rFonts w:ascii="Times New Roman" w:cs="Times New Roman" w:eastAsia="Times New Roman" w:hAnsi="Times New Roman"/>
          <w:sz w:val="14"/>
          <w:szCs w:val="14"/>
          <w:color w:val="auto"/>
        </w:rPr>
        <w:t>).</w:t>
      </w:r>
    </w:p>
    <w:p>
      <w:pPr>
        <w:spacing w:after="0" w:line="151" w:lineRule="exact"/>
        <w:rPr>
          <w:rFonts w:ascii="Times New Roman" w:cs="Times New Roman" w:eastAsia="Times New Roman" w:hAnsi="Times New Roman"/>
          <w:sz w:val="14"/>
          <w:szCs w:val="14"/>
          <w:color w:val="auto"/>
        </w:rPr>
      </w:pPr>
    </w:p>
    <w:p>
      <w:pPr>
        <w:ind w:left="320" w:right="479" w:firstLine="752"/>
        <w:spacing w:after="0" w:line="284" w:lineRule="auto"/>
        <w:tabs>
          <w:tab w:leader="none" w:pos="1267"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presentation of any physical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3.04 </w:t>
      </w:r>
      <w:r>
        <w:rPr>
          <w:rFonts w:ascii="Times New Roman" w:cs="Times New Roman" w:eastAsia="Times New Roman" w:hAnsi="Times New Roman"/>
          <w:sz w:val="14"/>
          <w:szCs w:val="14"/>
          <w:u w:val="single" w:color="auto"/>
          <w:color w:val="auto"/>
        </w:rPr>
        <w:t>Sinking Fund</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799" w:firstLine="335"/>
        <w:spacing w:after="0" w:line="266" w:lineRule="auto"/>
        <w:rPr>
          <w:sz w:val="20"/>
          <w:szCs w:val="20"/>
          <w:color w:val="auto"/>
        </w:rPr>
      </w:pPr>
      <w:r>
        <w:rPr>
          <w:rFonts w:ascii="Times New Roman" w:cs="Times New Roman" w:eastAsia="Times New Roman" w:hAnsi="Times New Roman"/>
          <w:sz w:val="14"/>
          <w:szCs w:val="14"/>
          <w:color w:val="auto"/>
        </w:rPr>
        <w:t xml:space="preserve">The provisions of </w:t>
      </w:r>
      <w:r>
        <w:rPr>
          <w:rFonts w:ascii="Times New Roman" w:cs="Times New Roman" w:eastAsia="Times New Roman" w:hAnsi="Times New Roman"/>
          <w:sz w:val="14"/>
          <w:szCs w:val="14"/>
          <w:u w:val="single" w:color="auto"/>
          <w:color w:val="auto"/>
        </w:rPr>
        <w:t>Sections 3.04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3.05</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3.06</w:t>
      </w:r>
      <w:r>
        <w:rPr>
          <w:rFonts w:ascii="Times New Roman" w:cs="Times New Roman" w:eastAsia="Times New Roman" w:hAnsi="Times New Roman"/>
          <w:sz w:val="14"/>
          <w:szCs w:val="14"/>
          <w:color w:val="auto"/>
        </w:rPr>
        <w:t xml:space="preserve"> shall be applicable to any sinking fund for the retirement of Securities of a series, except as otherwise specified as contemplated by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for Securities of such series.</w:t>
      </w:r>
    </w:p>
    <w:p>
      <w:pPr>
        <w:spacing w:after="0" w:line="136"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w:t>
      </w:r>
      <w:r>
        <w:rPr>
          <w:rFonts w:ascii="Times New Roman" w:cs="Times New Roman" w:eastAsia="Times New Roman" w:hAnsi="Times New Roman"/>
          <w:sz w:val="14"/>
          <w:szCs w:val="14"/>
          <w:u w:val="single" w:color="auto"/>
          <w:color w:val="auto"/>
        </w:rPr>
        <w:t>Section 3.05</w:t>
      </w:r>
      <w:r>
        <w:rPr>
          <w:rFonts w:ascii="Times New Roman" w:cs="Times New Roman" w:eastAsia="Times New Roman" w:hAnsi="Times New Roman"/>
          <w:sz w:val="14"/>
          <w:szCs w:val="14"/>
          <w:color w:val="auto"/>
        </w:rPr>
        <w:t>. Each sinking fund payment shall be applied to the redemption of Securities of any series as provided for by the terms of Securities of such series.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0" w:right="1440" w:bottom="1440" w:gutter="0" w:footer="0" w:header="0"/>
        </w:sectPr>
      </w:pPr>
    </w:p>
    <w:bookmarkStart w:id="113" w:name="page114"/>
    <w:bookmarkEnd w:id="113"/>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3.05 </w:t>
      </w:r>
      <w:r>
        <w:rPr>
          <w:rFonts w:ascii="Times New Roman" w:cs="Times New Roman" w:eastAsia="Times New Roman" w:hAnsi="Times New Roman"/>
          <w:sz w:val="14"/>
          <w:szCs w:val="14"/>
          <w:u w:val="single" w:color="auto"/>
          <w:color w:val="auto"/>
        </w:rPr>
        <w:t>Satisfaction of Sinking Fund Payments with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249" w:lineRule="auto"/>
        <w:rPr>
          <w:sz w:val="20"/>
          <w:szCs w:val="20"/>
          <w:color w:val="auto"/>
        </w:rPr>
      </w:pPr>
      <w:r>
        <w:rPr>
          <w:rFonts w:ascii="Times New Roman" w:cs="Times New Roman" w:eastAsia="Times New Roman" w:hAnsi="Times New Roman"/>
          <w:sz w:val="14"/>
          <w:szCs w:val="14"/>
          <w:color w:val="auto"/>
        </w:rPr>
        <w:t xml:space="preserve">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3.06 </w:t>
      </w:r>
      <w:r>
        <w:rPr>
          <w:rFonts w:ascii="Times New Roman" w:cs="Times New Roman" w:eastAsia="Times New Roman" w:hAnsi="Times New Roman"/>
          <w:sz w:val="14"/>
          <w:szCs w:val="14"/>
          <w:u w:val="single" w:color="auto"/>
          <w:color w:val="auto"/>
        </w:rPr>
        <w:t>Redemption of Securities for Sinking Fund</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335"/>
        <w:spacing w:after="0" w:line="247" w:lineRule="auto"/>
        <w:rPr>
          <w:sz w:val="20"/>
          <w:szCs w:val="20"/>
          <w:color w:val="auto"/>
        </w:rPr>
      </w:pPr>
      <w:r>
        <w:rPr>
          <w:rFonts w:ascii="Times New Roman" w:cs="Times New Roman" w:eastAsia="Times New Roman" w:hAnsi="Times New Roman"/>
          <w:sz w:val="14"/>
          <w:szCs w:val="14"/>
          <w:color w:val="auto"/>
        </w:rPr>
        <w:t xml:space="preserve">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w:t>
      </w:r>
      <w:r>
        <w:rPr>
          <w:rFonts w:ascii="Times New Roman" w:cs="Times New Roman" w:eastAsia="Times New Roman" w:hAnsi="Times New Roman"/>
          <w:sz w:val="14"/>
          <w:szCs w:val="14"/>
          <w:u w:val="single" w:color="auto"/>
          <w:color w:val="auto"/>
        </w:rPr>
        <w:t>Section 3.05</w:t>
      </w:r>
      <w:r>
        <w:rPr>
          <w:rFonts w:ascii="Times New Roman" w:cs="Times New Roman" w:eastAsia="Times New Roman" w:hAnsi="Times New Roman"/>
          <w:sz w:val="14"/>
          <w:szCs w:val="14"/>
          <w:color w:val="auto"/>
        </w:rPr>
        <w:t xml:space="preserve">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w:t>
      </w:r>
      <w:r>
        <w:rPr>
          <w:rFonts w:ascii="Times New Roman" w:cs="Times New Roman" w:eastAsia="Times New Roman" w:hAnsi="Times New Roman"/>
          <w:sz w:val="14"/>
          <w:szCs w:val="14"/>
          <w:u w:val="single" w:color="auto"/>
          <w:color w:val="auto"/>
        </w:rPr>
        <w:t>Section 3.02</w:t>
      </w:r>
      <w:r>
        <w:rPr>
          <w:rFonts w:ascii="Times New Roman" w:cs="Times New Roman" w:eastAsia="Times New Roman" w:hAnsi="Times New Roman"/>
          <w:sz w:val="14"/>
          <w:szCs w:val="14"/>
          <w:color w:val="auto"/>
        </w:rPr>
        <w:t xml:space="preserve"> and cause notice of the redemption thereof to be given in the name of and at the expense of the Company in the manner provided in </w:t>
      </w:r>
      <w:r>
        <w:rPr>
          <w:rFonts w:ascii="Times New Roman" w:cs="Times New Roman" w:eastAsia="Times New Roman" w:hAnsi="Times New Roman"/>
          <w:sz w:val="14"/>
          <w:szCs w:val="14"/>
          <w:u w:val="single" w:color="auto"/>
          <w:color w:val="auto"/>
        </w:rPr>
        <w:t>Section 3.02</w:t>
      </w:r>
      <w:r>
        <w:rPr>
          <w:rFonts w:ascii="Times New Roman" w:cs="Times New Roman" w:eastAsia="Times New Roman" w:hAnsi="Times New Roman"/>
          <w:sz w:val="14"/>
          <w:szCs w:val="14"/>
          <w:color w:val="auto"/>
        </w:rPr>
        <w:t xml:space="preserve">. Such notice having been duly given, the redemption of such Securities shall be made upon the terms and in the manner stated in </w:t>
      </w:r>
      <w:r>
        <w:rPr>
          <w:rFonts w:ascii="Times New Roman" w:cs="Times New Roman" w:eastAsia="Times New Roman" w:hAnsi="Times New Roman"/>
          <w:sz w:val="14"/>
          <w:szCs w:val="14"/>
          <w:u w:val="single" w:color="auto"/>
          <w:color w:val="auto"/>
        </w:rPr>
        <w:t>Section 3.03</w:t>
      </w:r>
      <w:r>
        <w:rPr>
          <w:rFonts w:ascii="Times New Roman" w:cs="Times New Roman" w:eastAsia="Times New Roman" w:hAnsi="Times New Roman"/>
          <w:sz w:val="14"/>
          <w:szCs w:val="14"/>
          <w:color w:val="auto"/>
        </w:rPr>
        <w:t>.</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4</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4.01 </w:t>
      </w:r>
      <w:r>
        <w:rPr>
          <w:rFonts w:ascii="Times New Roman" w:cs="Times New Roman" w:eastAsia="Times New Roman" w:hAnsi="Times New Roman"/>
          <w:sz w:val="14"/>
          <w:szCs w:val="14"/>
          <w:u w:val="single" w:color="auto"/>
          <w:color w:val="auto"/>
        </w:rPr>
        <w:t>Payment of Principal, Premium and Interest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physical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an account in the United States if such Securityholder shall have furnished wire instructions in writing to the Security Registrar and the Trustee no later than 15 days prior to the relevant payment date.</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0" w:right="1440" w:bottom="1440" w:gutter="0" w:footer="0" w:header="0"/>
        </w:sectPr>
      </w:pPr>
    </w:p>
    <w:bookmarkStart w:id="114" w:name="page115"/>
    <w:bookmarkEnd w:id="114"/>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4.02 </w:t>
      </w:r>
      <w:r>
        <w:rPr>
          <w:rFonts w:ascii="Times New Roman" w:cs="Times New Roman" w:eastAsia="Times New Roman" w:hAnsi="Times New Roman"/>
          <w:sz w:val="14"/>
          <w:szCs w:val="14"/>
          <w:u w:val="single" w:color="auto"/>
          <w:color w:val="auto"/>
        </w:rPr>
        <w:t>Maintenance of Office or Agency</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269" w:lineRule="auto"/>
        <w:rPr>
          <w:sz w:val="20"/>
          <w:szCs w:val="20"/>
          <w:color w:val="auto"/>
        </w:rPr>
      </w:pPr>
      <w:r>
        <w:rPr>
          <w:rFonts w:ascii="Times New Roman" w:cs="Times New Roman" w:eastAsia="Times New Roman" w:hAnsi="Times New Roman"/>
          <w:sz w:val="13"/>
          <w:szCs w:val="13"/>
          <w:color w:val="auto"/>
        </w:rPr>
        <w:t xml:space="preserve">So long as any series of the Securities remain Outstanding, the Company agrees to maintain an office or agency with respect to each such series and at such other location or locations as may be designated as provided in this </w:t>
      </w:r>
      <w:r>
        <w:rPr>
          <w:rFonts w:ascii="Times New Roman" w:cs="Times New Roman" w:eastAsia="Times New Roman" w:hAnsi="Times New Roman"/>
          <w:sz w:val="13"/>
          <w:szCs w:val="13"/>
          <w:u w:val="single" w:color="auto"/>
          <w:color w:val="auto"/>
        </w:rPr>
        <w:t>Section 4.02</w:t>
      </w:r>
      <w:r>
        <w:rPr>
          <w:rFonts w:ascii="Times New Roman" w:cs="Times New Roman" w:eastAsia="Times New Roman" w:hAnsi="Times New Roman"/>
          <w:sz w:val="13"/>
          <w:szCs w:val="13"/>
          <w:color w:val="auto"/>
        </w:rPr>
        <w:t>, where (i) Securities of that series may be presented for payment, (ii) Securities of that series may be presented as herein above authorized for registration of transfer and exchange, and (iii) notices in respect of the Securities of that series and this Indenture may be given or made, such designation to continue with respect to such office or agency until the Company shall, by written notice in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and notices may be made at the Corporate Trust Office of the Trustee, and the Company hereby appoints the Trustee as its agent to receive all such presentations and notices; provided, however, the Trustee shall not be considered an agent of the Company for service of process.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4.03 </w:t>
      </w:r>
      <w:r>
        <w:rPr>
          <w:rFonts w:ascii="Times New Roman" w:cs="Times New Roman" w:eastAsia="Times New Roman" w:hAnsi="Times New Roman"/>
          <w:sz w:val="14"/>
          <w:szCs w:val="14"/>
          <w:u w:val="single" w:color="auto"/>
          <w:color w:val="auto"/>
        </w:rPr>
        <w:t>Paying Agents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752"/>
        <w:spacing w:after="0" w:line="255" w:lineRule="auto"/>
        <w:tabs>
          <w:tab w:leader="none" w:pos="1259"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61" w:lineRule="exact"/>
        <w:rPr>
          <w:rFonts w:ascii="Times New Roman" w:cs="Times New Roman" w:eastAsia="Times New Roman" w:hAnsi="Times New Roman"/>
          <w:sz w:val="14"/>
          <w:szCs w:val="14"/>
          <w:color w:val="auto"/>
        </w:rPr>
      </w:pPr>
    </w:p>
    <w:p>
      <w:pPr>
        <w:ind w:left="660" w:right="359" w:firstLine="717"/>
        <w:spacing w:after="0" w:line="255" w:lineRule="auto"/>
        <w:tabs>
          <w:tab w:leader="none" w:pos="1577" w:val="left"/>
        </w:tabs>
        <w:numPr>
          <w:ilvl w:val="1"/>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61" w:lineRule="exact"/>
        <w:rPr>
          <w:rFonts w:ascii="Times New Roman" w:cs="Times New Roman" w:eastAsia="Times New Roman" w:hAnsi="Times New Roman"/>
          <w:sz w:val="14"/>
          <w:szCs w:val="14"/>
          <w:color w:val="auto"/>
        </w:rPr>
      </w:pPr>
    </w:p>
    <w:p>
      <w:pPr>
        <w:ind w:left="660" w:right="799" w:firstLine="717"/>
        <w:spacing w:after="0" w:line="305" w:lineRule="auto"/>
        <w:tabs>
          <w:tab w:leader="none" w:pos="1577" w:val="left"/>
        </w:tabs>
        <w:numPr>
          <w:ilvl w:val="1"/>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30" w:lineRule="exact"/>
        <w:rPr>
          <w:rFonts w:ascii="Times New Roman" w:cs="Times New Roman" w:eastAsia="Times New Roman" w:hAnsi="Times New Roman"/>
          <w:sz w:val="13"/>
          <w:szCs w:val="13"/>
          <w:color w:val="auto"/>
        </w:rPr>
      </w:pPr>
    </w:p>
    <w:p>
      <w:pPr>
        <w:ind w:left="660" w:right="379" w:firstLine="717"/>
        <w:spacing w:after="0" w:line="266" w:lineRule="auto"/>
        <w:tabs>
          <w:tab w:leader="none" w:pos="1577" w:val="left"/>
        </w:tabs>
        <w:numPr>
          <w:ilvl w:val="1"/>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will, at any time during the continuance of any failure referred to in the preceding paragraph (a)(2) above, upon the written request of the Trustee, forthwith pay to the Trustee all sums so held in trust by such paying agent;</w:t>
      </w:r>
    </w:p>
    <w:p>
      <w:pPr>
        <w:spacing w:after="0" w:line="53" w:lineRule="exact"/>
        <w:rPr>
          <w:rFonts w:ascii="Times New Roman" w:cs="Times New Roman" w:eastAsia="Times New Roman" w:hAnsi="Times New Roman"/>
          <w:sz w:val="14"/>
          <w:szCs w:val="14"/>
          <w:color w:val="auto"/>
        </w:rPr>
      </w:pPr>
    </w:p>
    <w:p>
      <w:pPr>
        <w:ind w:left="660" w:right="739" w:firstLine="717"/>
        <w:spacing w:after="0" w:line="266" w:lineRule="auto"/>
        <w:tabs>
          <w:tab w:leader="none" w:pos="1577" w:val="left"/>
        </w:tabs>
        <w:numPr>
          <w:ilvl w:val="1"/>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upon any receivership, insolvency, liquidation, bankruptcy, reorganization, readjustment, arrangement, composition or judicial proceedings affecting the Company, the Trustee will automatically be the Paying Agent; and</w:t>
      </w:r>
    </w:p>
    <w:p>
      <w:pPr>
        <w:spacing w:after="0" w:line="53" w:lineRule="exact"/>
        <w:rPr>
          <w:rFonts w:ascii="Times New Roman" w:cs="Times New Roman" w:eastAsia="Times New Roman" w:hAnsi="Times New Roman"/>
          <w:sz w:val="14"/>
          <w:szCs w:val="14"/>
          <w:color w:val="auto"/>
        </w:rPr>
      </w:pPr>
    </w:p>
    <w:p>
      <w:pPr>
        <w:ind w:left="1580" w:hanging="203"/>
        <w:spacing w:after="0"/>
        <w:tabs>
          <w:tab w:leader="none" w:pos="1580" w:val="left"/>
        </w:tabs>
        <w:numPr>
          <w:ilvl w:val="1"/>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will perform all other duties of paying agent as set forth in this Indenture.</w:t>
      </w:r>
    </w:p>
    <w:p>
      <w:pPr>
        <w:spacing w:after="0" w:line="167" w:lineRule="exact"/>
        <w:rPr>
          <w:rFonts w:ascii="Times New Roman" w:cs="Times New Roman" w:eastAsia="Times New Roman" w:hAnsi="Times New Roman"/>
          <w:sz w:val="14"/>
          <w:szCs w:val="14"/>
          <w:color w:val="auto"/>
        </w:rPr>
      </w:pPr>
    </w:p>
    <w:p>
      <w:pPr>
        <w:ind w:left="320" w:right="379" w:firstLine="752"/>
        <w:spacing w:after="0" w:line="252" w:lineRule="auto"/>
        <w:tabs>
          <w:tab w:leader="none" w:pos="1267"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0" w:right="1440" w:bottom="1440" w:gutter="0" w:footer="0" w:header="0"/>
        </w:sectPr>
      </w:pPr>
    </w:p>
    <w:bookmarkStart w:id="115" w:name="page116"/>
    <w:bookmarkEnd w:id="115"/>
    <w:p>
      <w:pPr>
        <w:ind w:left="320" w:right="45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46" w:lineRule="exact"/>
        <w:rPr>
          <w:sz w:val="20"/>
          <w:szCs w:val="20"/>
          <w:color w:val="auto"/>
        </w:rPr>
      </w:pPr>
    </w:p>
    <w:p>
      <w:pPr>
        <w:ind w:left="320" w:right="339" w:firstLine="752"/>
        <w:spacing w:after="0" w:line="249" w:lineRule="auto"/>
        <w:tabs>
          <w:tab w:leader="none" w:pos="1259"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in this Section to the contrary, (i) the agreement to hold sums in trust as provided in this Section is subject to the provisions of </w:t>
      </w:r>
      <w:r>
        <w:rPr>
          <w:rFonts w:ascii="Times New Roman" w:cs="Times New Roman" w:eastAsia="Times New Roman" w:hAnsi="Times New Roman"/>
          <w:sz w:val="14"/>
          <w:szCs w:val="14"/>
          <w:u w:val="single" w:color="auto"/>
          <w:color w:val="auto"/>
        </w:rPr>
        <w:t>Section 11.05</w:t>
      </w:r>
      <w:r>
        <w:rPr>
          <w:rFonts w:ascii="Times New Roman" w:cs="Times New Roman" w:eastAsia="Times New Roman" w:hAnsi="Times New Roman"/>
          <w:sz w:val="14"/>
          <w:szCs w:val="14"/>
          <w:color w:val="auto"/>
        </w:rPr>
        <w:t>,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46"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initially appoints the Trustee at its Corporate Trust Office as its paying agent with respect to the Securities.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4.04 </w:t>
      </w:r>
      <w:r>
        <w:rPr>
          <w:rFonts w:ascii="Times New Roman" w:cs="Times New Roman" w:eastAsia="Times New Roman" w:hAnsi="Times New Roman"/>
          <w:sz w:val="14"/>
          <w:szCs w:val="14"/>
          <w:u w:val="single" w:color="auto"/>
          <w:color w:val="auto"/>
        </w:rPr>
        <w:t>Appointment to Fill Vacancy in Office of Trustee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699" w:firstLine="335"/>
        <w:spacing w:after="0" w:line="266" w:lineRule="auto"/>
        <w:rPr>
          <w:sz w:val="20"/>
          <w:szCs w:val="20"/>
          <w:color w:val="auto"/>
        </w:rPr>
      </w:pPr>
      <w:r>
        <w:rPr>
          <w:rFonts w:ascii="Times New Roman" w:cs="Times New Roman" w:eastAsia="Times New Roman" w:hAnsi="Times New Roman"/>
          <w:sz w:val="14"/>
          <w:szCs w:val="14"/>
          <w:color w:val="auto"/>
        </w:rPr>
        <w:t xml:space="preserve">The Company, whenever necessary to avoid or fill a vacancy in the office of Trustee, will appoint, in the manner provided in </w:t>
      </w:r>
      <w:r>
        <w:rPr>
          <w:rFonts w:ascii="Times New Roman" w:cs="Times New Roman" w:eastAsia="Times New Roman" w:hAnsi="Times New Roman"/>
          <w:sz w:val="14"/>
          <w:szCs w:val="14"/>
          <w:u w:val="single" w:color="auto"/>
          <w:color w:val="auto"/>
        </w:rPr>
        <w:t>Section 7.10</w:t>
      </w:r>
      <w:r>
        <w:rPr>
          <w:rFonts w:ascii="Times New Roman" w:cs="Times New Roman" w:eastAsia="Times New Roman" w:hAnsi="Times New Roman"/>
          <w:sz w:val="14"/>
          <w:szCs w:val="14"/>
          <w:color w:val="auto"/>
        </w:rPr>
        <w:t>, a Trustee, so that there shall at all times be a Trustee hereunder.</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4.05 </w:t>
      </w:r>
      <w:r>
        <w:rPr>
          <w:rFonts w:ascii="Times New Roman" w:cs="Times New Roman" w:eastAsia="Times New Roman" w:hAnsi="Times New Roman"/>
          <w:sz w:val="14"/>
          <w:szCs w:val="14"/>
          <w:u w:val="single" w:color="auto"/>
          <w:color w:val="auto"/>
        </w:rPr>
        <w:t>Compliance with Consolidation Provisions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39" w:firstLine="335"/>
        <w:spacing w:after="0" w:line="255" w:lineRule="auto"/>
        <w:rPr>
          <w:sz w:val="20"/>
          <w:szCs w:val="20"/>
          <w:color w:val="auto"/>
        </w:rPr>
      </w:pPr>
      <w:r>
        <w:rPr>
          <w:rFonts w:ascii="Times New Roman" w:cs="Times New Roman" w:eastAsia="Times New Roman" w:hAnsi="Times New Roman"/>
          <w:sz w:val="14"/>
          <w:szCs w:val="14"/>
          <w:color w:val="auto"/>
        </w:rPr>
        <w:t xml:space="preserve">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w:t>
      </w:r>
      <w:r>
        <w:rPr>
          <w:rFonts w:ascii="Times New Roman" w:cs="Times New Roman" w:eastAsia="Times New Roman" w:hAnsi="Times New Roman"/>
          <w:sz w:val="14"/>
          <w:szCs w:val="14"/>
          <w:u w:val="single" w:color="auto"/>
          <w:color w:val="auto"/>
        </w:rPr>
        <w:t>Article 10</w:t>
      </w:r>
      <w:r>
        <w:rPr>
          <w:rFonts w:ascii="Times New Roman" w:cs="Times New Roman" w:eastAsia="Times New Roman" w:hAnsi="Times New Roman"/>
          <w:sz w:val="14"/>
          <w:szCs w:val="14"/>
          <w:color w:val="auto"/>
        </w:rPr>
        <w:t xml:space="preserve"> hereof are complied with.</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5</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SECURITYHOLDERS’ LISTS AND REPORTS BY THE COMPANY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AND THE TRUSTEE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5.01 </w:t>
      </w:r>
      <w:r>
        <w:rPr>
          <w:rFonts w:ascii="Times New Roman" w:cs="Times New Roman" w:eastAsia="Times New Roman" w:hAnsi="Times New Roman"/>
          <w:sz w:val="14"/>
          <w:szCs w:val="14"/>
          <w:u w:val="single" w:color="auto"/>
          <w:color w:val="auto"/>
        </w:rPr>
        <w:t>Company to Furnish Trustee Names and Addresses of Securityholders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271" w:lineRule="auto"/>
        <w:rPr>
          <w:sz w:val="20"/>
          <w:szCs w:val="20"/>
          <w:color w:val="auto"/>
        </w:rPr>
      </w:pPr>
      <w:r>
        <w:rPr>
          <w:rFonts w:ascii="Times New Roman" w:cs="Times New Roman" w:eastAsia="Times New Roman" w:hAnsi="Times New Roman"/>
          <w:sz w:val="13"/>
          <w:szCs w:val="13"/>
          <w:color w:val="auto"/>
        </w:rPr>
        <w:t xml:space="preserve">The Company will furnish or cause to be furnished to the Trustee (a) within 5 days after each regular record date (as defined in </w:t>
      </w:r>
      <w:r>
        <w:rPr>
          <w:rFonts w:ascii="Times New Roman" w:cs="Times New Roman" w:eastAsia="Times New Roman" w:hAnsi="Times New Roman"/>
          <w:sz w:val="13"/>
          <w:szCs w:val="13"/>
          <w:u w:val="single" w:color="auto"/>
          <w:color w:val="auto"/>
        </w:rPr>
        <w:t>Section 2.03</w:t>
      </w:r>
      <w:r>
        <w:rPr>
          <w:rFonts w:ascii="Times New Roman" w:cs="Times New Roman" w:eastAsia="Times New Roman" w:hAnsi="Times New Roman"/>
          <w:sz w:val="13"/>
          <w:szCs w:val="13"/>
          <w:color w:val="auto"/>
        </w:rPr>
        <w:t xml:space="preserve">) a list, in such form as the Trustee may reasonably require, of the names and addresses of the holders of each series of Securities as of such regular record date, </w:t>
      </w:r>
      <w:r>
        <w:rPr>
          <w:rFonts w:ascii="Times New Roman" w:cs="Times New Roman" w:eastAsia="Times New Roman" w:hAnsi="Times New Roman"/>
          <w:sz w:val="13"/>
          <w:szCs w:val="13"/>
          <w:i w:val="1"/>
          <w:iCs w:val="1"/>
          <w:color w:val="auto"/>
        </w:rPr>
        <w:t xml:space="preserve">provided </w:t>
      </w:r>
      <w:r>
        <w:rPr>
          <w:rFonts w:ascii="Times New Roman" w:cs="Times New Roman" w:eastAsia="Times New Roman" w:hAnsi="Times New Roman"/>
          <w:sz w:val="13"/>
          <w:szCs w:val="13"/>
          <w:color w:val="auto"/>
        </w:rPr>
        <w:t>that the Company shall not be obligated to furnish or cause to be furnished such list at any time that the list shall not differ in any respect from</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w:t>
      </w:r>
      <w:r>
        <w:rPr>
          <w:rFonts w:ascii="Times New Roman" w:cs="Times New Roman" w:eastAsia="Times New Roman" w:hAnsi="Times New Roman"/>
          <w:sz w:val="13"/>
          <w:szCs w:val="13"/>
          <w:i w:val="1"/>
          <w:iCs w:val="1"/>
          <w:color w:val="auto"/>
        </w:rPr>
        <w:t xml:space="preserve">provided, however, </w:t>
      </w:r>
      <w:r>
        <w:rPr>
          <w:rFonts w:ascii="Times New Roman" w:cs="Times New Roman" w:eastAsia="Times New Roman" w:hAnsi="Times New Roman"/>
          <w:sz w:val="13"/>
          <w:szCs w:val="13"/>
          <w:color w:val="auto"/>
        </w:rPr>
        <w:t>that, in either case, no such list need be furnished for any series for which the Trustee shall be the Security Registrar.</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0" w:right="1440" w:bottom="1440" w:gutter="0" w:footer="0" w:header="0"/>
        </w:sectPr>
      </w:pPr>
    </w:p>
    <w:bookmarkStart w:id="116" w:name="page117"/>
    <w:bookmarkEnd w:id="116"/>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5.02 </w:t>
      </w:r>
      <w:r>
        <w:rPr>
          <w:rFonts w:ascii="Times New Roman" w:cs="Times New Roman" w:eastAsia="Times New Roman" w:hAnsi="Times New Roman"/>
          <w:sz w:val="14"/>
          <w:szCs w:val="14"/>
          <w:u w:val="single" w:color="auto"/>
          <w:color w:val="auto"/>
        </w:rPr>
        <w:t>Preservation Of Information; Communications With Securityholders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759" w:firstLine="752"/>
        <w:spacing w:after="0" w:line="255" w:lineRule="auto"/>
        <w:tabs>
          <w:tab w:leader="none" w:pos="1259"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Trustee shall preserve, in as current a form as is reasonably practicable, all information as to the names and addresses of the holders of Securities contained in the most recent list furnished to it as provided in </w:t>
      </w: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 xml:space="preserve"> and as to the names and addresses of holders of Securities received by the Trustee in its capacity as Security Registrar (if acting in such capacity ).</w:t>
      </w:r>
    </w:p>
    <w:p>
      <w:pPr>
        <w:spacing w:after="0" w:line="143"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Trustee may destroy any list furnished to it as provided in </w:t>
      </w: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 xml:space="preserve"> upon receipt of a new list so furnished.</w:t>
      </w:r>
    </w:p>
    <w:p>
      <w:pPr>
        <w:spacing w:after="0" w:line="167" w:lineRule="exact"/>
        <w:rPr>
          <w:rFonts w:ascii="Times New Roman" w:cs="Times New Roman" w:eastAsia="Times New Roman" w:hAnsi="Times New Roman"/>
          <w:sz w:val="14"/>
          <w:szCs w:val="14"/>
          <w:color w:val="auto"/>
        </w:rPr>
      </w:pPr>
    </w:p>
    <w:p>
      <w:pPr>
        <w:jc w:val="both"/>
        <w:ind w:left="320" w:right="379" w:firstLine="752"/>
        <w:spacing w:after="0" w:line="255" w:lineRule="auto"/>
        <w:tabs>
          <w:tab w:leader="none" w:pos="1259"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5.03 </w:t>
      </w:r>
      <w:r>
        <w:rPr>
          <w:rFonts w:ascii="Times New Roman" w:cs="Times New Roman" w:eastAsia="Times New Roman" w:hAnsi="Times New Roman"/>
          <w:sz w:val="14"/>
          <w:szCs w:val="14"/>
          <w:u w:val="single" w:color="auto"/>
          <w:color w:val="auto"/>
        </w:rPr>
        <w:t>Reports by the Company</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752"/>
        <w:spacing w:after="0" w:line="246" w:lineRule="auto"/>
        <w:tabs>
          <w:tab w:leader="none" w:pos="1259"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the Company shall not be required to deliver to the Trustee any materials for which the Company has sought and received confidential treatment by the Commission; and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so long as such filings by the Company are available on the 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 electronic link to such filing, together with an electronic notice of such filing have been sent to the Trustee it being understood that the Trustee shall have no responsibility to determine whether such filings have been made. For the avoidance of doubt, a failure by the Company to file annual reports, information and other reports with the Commission within the time period prescribed thereof by the Commission shall not be deemed a breach of this </w:t>
      </w:r>
      <w:r>
        <w:rPr>
          <w:rFonts w:ascii="Times New Roman" w:cs="Times New Roman" w:eastAsia="Times New Roman" w:hAnsi="Times New Roman"/>
          <w:sz w:val="14"/>
          <w:szCs w:val="14"/>
          <w:u w:val="single" w:color="auto"/>
          <w:color w:val="auto"/>
        </w:rPr>
        <w:t>Section 5.03</w:t>
      </w:r>
      <w:r>
        <w:rPr>
          <w:rFonts w:ascii="Times New Roman" w:cs="Times New Roman" w:eastAsia="Times New Roman" w:hAnsi="Times New Roman"/>
          <w:sz w:val="14"/>
          <w:szCs w:val="14"/>
          <w:color w:val="auto"/>
        </w:rPr>
        <w:t>.</w:t>
      </w:r>
    </w:p>
    <w:p>
      <w:pPr>
        <w:spacing w:after="0" w:line="154" w:lineRule="exact"/>
        <w:rPr>
          <w:rFonts w:ascii="Times New Roman" w:cs="Times New Roman" w:eastAsia="Times New Roman" w:hAnsi="Times New Roman"/>
          <w:sz w:val="14"/>
          <w:szCs w:val="14"/>
          <w:color w:val="auto"/>
        </w:rPr>
      </w:pPr>
    </w:p>
    <w:p>
      <w:pPr>
        <w:ind w:left="320" w:right="359" w:firstLine="752"/>
        <w:spacing w:after="0" w:line="252" w:lineRule="auto"/>
        <w:tabs>
          <w:tab w:leader="none" w:pos="1267"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Delivery of reports, information and documents to the Trustee under </w:t>
      </w:r>
      <w:r>
        <w:rPr>
          <w:rFonts w:ascii="Times New Roman" w:cs="Times New Roman" w:eastAsia="Times New Roman" w:hAnsi="Times New Roman"/>
          <w:sz w:val="14"/>
          <w:szCs w:val="14"/>
          <w:u w:val="single" w:color="auto"/>
          <w:color w:val="auto"/>
        </w:rPr>
        <w:t>Section 5.03</w:t>
      </w:r>
      <w:r>
        <w:rPr>
          <w:rFonts w:ascii="Times New Roman" w:cs="Times New Roman" w:eastAsia="Times New Roman" w:hAnsi="Times New Roman"/>
          <w:sz w:val="14"/>
          <w:szCs w:val="14"/>
          <w:color w:val="auto"/>
        </w:rPr>
        <w:t xml:space="preserve">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39" w:right="1440" w:bottom="1440" w:gutter="0" w:footer="0" w:header="0"/>
        </w:sectPr>
      </w:pPr>
    </w:p>
    <w:bookmarkStart w:id="117" w:name="page118"/>
    <w:bookmarkEnd w:id="117"/>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5.04 </w:t>
      </w:r>
      <w:r>
        <w:rPr>
          <w:rFonts w:ascii="Times New Roman" w:cs="Times New Roman" w:eastAsia="Times New Roman" w:hAnsi="Times New Roman"/>
          <w:sz w:val="14"/>
          <w:szCs w:val="14"/>
          <w:u w:val="single" w:color="auto"/>
          <w:color w:val="auto"/>
        </w:rPr>
        <w:t>Reports by the Trustee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752"/>
        <w:spacing w:after="0" w:line="252" w:lineRule="auto"/>
        <w:tabs>
          <w:tab w:leader="none" w:pos="125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required by Section 313(a) of the Trust Indenture Act, the Trustee, within sixty (60) days after each May 15, commencing the calendar year after the year in which the first Securities are issued hereunder, shall transmit by mail, first class postage prepaid, to the Securityholders, as their names and addresses appear upon the Security Register, a brief report dated as of such May 15, which complies with Section 313(a) of the Trust Indenture Act.</w:t>
      </w:r>
    </w:p>
    <w:p>
      <w:pPr>
        <w:spacing w:after="0" w:line="144"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comply with Section 313(b) and 313(c) of the Trust Indenture Act.</w:t>
      </w:r>
    </w:p>
    <w:p>
      <w:pPr>
        <w:spacing w:after="0" w:line="167" w:lineRule="exact"/>
        <w:rPr>
          <w:rFonts w:ascii="Times New Roman" w:cs="Times New Roman" w:eastAsia="Times New Roman" w:hAnsi="Times New Roman"/>
          <w:sz w:val="14"/>
          <w:szCs w:val="14"/>
          <w:color w:val="auto"/>
        </w:rPr>
      </w:pPr>
    </w:p>
    <w:p>
      <w:pPr>
        <w:ind w:left="320" w:right="439" w:firstLine="752"/>
        <w:spacing w:after="0" w:line="255" w:lineRule="auto"/>
        <w:tabs>
          <w:tab w:leader="none" w:pos="125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in writing when any Securities become listed on any securities exchange or of any delisting thereof.</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6</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REMEDIES OF THE TRUSTEE AND SECURITYHOLDERS 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EVENT OF DEFAULT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6.01 </w:t>
      </w:r>
      <w:r>
        <w:rPr>
          <w:rFonts w:ascii="Times New Roman" w:cs="Times New Roman" w:eastAsia="Times New Roman" w:hAnsi="Times New Roman"/>
          <w:sz w:val="14"/>
          <w:szCs w:val="14"/>
          <w:u w:val="single" w:color="auto"/>
          <w:color w:val="auto"/>
        </w:rPr>
        <w:t>Events of Default</w:t>
      </w:r>
      <w:r>
        <w:rPr>
          <w:rFonts w:ascii="Times New Roman" w:cs="Times New Roman" w:eastAsia="Times New Roman" w:hAnsi="Times New Roman"/>
          <w:sz w:val="14"/>
          <w:szCs w:val="14"/>
          <w:color w:val="auto"/>
        </w:rPr>
        <w:t>.</w:t>
      </w:r>
    </w:p>
    <w:p>
      <w:pPr>
        <w:spacing w:after="0" w:line="163" w:lineRule="exact"/>
        <w:rPr>
          <w:sz w:val="20"/>
          <w:szCs w:val="20"/>
          <w:color w:val="auto"/>
        </w:rPr>
      </w:pPr>
    </w:p>
    <w:p>
      <w:pPr>
        <w:ind w:left="320" w:right="599" w:firstLine="752"/>
        <w:spacing w:after="0" w:line="272" w:lineRule="auto"/>
        <w:tabs>
          <w:tab w:leader="none" w:pos="125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Whenever used herein with respect to Securities of a particular series, “</w:t>
      </w:r>
      <w:r>
        <w:rPr>
          <w:rFonts w:ascii="Times New Roman" w:cs="Times New Roman" w:eastAsia="Times New Roman" w:hAnsi="Times New Roman"/>
          <w:sz w:val="14"/>
          <w:szCs w:val="14"/>
          <w:b w:val="1"/>
          <w:bCs w:val="1"/>
          <w:color w:val="auto"/>
        </w:rPr>
        <w:t>Event of Default</w:t>
      </w:r>
      <w:r>
        <w:rPr>
          <w:rFonts w:ascii="Times New Roman" w:cs="Times New Roman" w:eastAsia="Times New Roman" w:hAnsi="Times New Roman"/>
          <w:sz w:val="14"/>
          <w:szCs w:val="14"/>
          <w:color w:val="auto"/>
        </w:rPr>
        <w:t>” means any one or more of the following events that has occurred and is continuing:</w:t>
      </w:r>
    </w:p>
    <w:p>
      <w:pPr>
        <w:spacing w:after="0" w:line="49" w:lineRule="exact"/>
        <w:rPr>
          <w:rFonts w:ascii="Times New Roman" w:cs="Times New Roman" w:eastAsia="Times New Roman" w:hAnsi="Times New Roman"/>
          <w:sz w:val="14"/>
          <w:szCs w:val="14"/>
          <w:color w:val="auto"/>
        </w:rPr>
      </w:pPr>
    </w:p>
    <w:p>
      <w:pPr>
        <w:jc w:val="both"/>
        <w:ind w:left="660" w:right="339" w:firstLine="717"/>
        <w:spacing w:after="0" w:line="252" w:lineRule="auto"/>
        <w:tabs>
          <w:tab w:leader="none" w:pos="1577"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defaults in the payment of any installment of interest upon any of the Securities of that series, as and when the same shall become due and payable, and such default continues for a period of 90 days;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a valid extension of an interest payment period by the Company in accordance with the terms of any indenture supplemental hereto shall not constitute a default in the payment of interest for this purpose;</w:t>
      </w:r>
    </w:p>
    <w:p>
      <w:pPr>
        <w:spacing w:after="0" w:line="62" w:lineRule="exact"/>
        <w:rPr>
          <w:rFonts w:ascii="Times New Roman" w:cs="Times New Roman" w:eastAsia="Times New Roman" w:hAnsi="Times New Roman"/>
          <w:sz w:val="14"/>
          <w:szCs w:val="14"/>
          <w:color w:val="auto"/>
        </w:rPr>
      </w:pPr>
    </w:p>
    <w:p>
      <w:pPr>
        <w:ind w:left="660" w:right="439" w:firstLine="717"/>
        <w:spacing w:after="0" w:line="277" w:lineRule="auto"/>
        <w:tabs>
          <w:tab w:leader="none" w:pos="1577" w:val="left"/>
        </w:tabs>
        <w:numPr>
          <w:ilvl w:val="1"/>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a valid extension of the maturity of such Securities in accordance with the terms of any indenture supplemental hereto shall not constitute a default in the payment of principal or premium, if any;</w:t>
      </w:r>
    </w:p>
    <w:p>
      <w:pPr>
        <w:spacing w:after="0" w:line="48" w:lineRule="exact"/>
        <w:rPr>
          <w:rFonts w:ascii="Times New Roman" w:cs="Times New Roman" w:eastAsia="Times New Roman" w:hAnsi="Times New Roman"/>
          <w:sz w:val="13"/>
          <w:szCs w:val="13"/>
          <w:color w:val="auto"/>
        </w:rPr>
      </w:pPr>
    </w:p>
    <w:p>
      <w:pPr>
        <w:ind w:left="660" w:right="359" w:firstLine="717"/>
        <w:spacing w:after="0" w:line="249" w:lineRule="auto"/>
        <w:tabs>
          <w:tab w:leader="none" w:pos="1577"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fails to observe or perform any other of its covenants or agreements with respect to that series contained in this Indenture or otherwise established with respect to that series of Securities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w:t>
      </w:r>
      <w:r>
        <w:rPr>
          <w:rFonts w:ascii="Times New Roman" w:cs="Times New Roman" w:eastAsia="Times New Roman" w:hAnsi="Times New Roman"/>
          <w:sz w:val="14"/>
          <w:szCs w:val="14"/>
          <w:b w:val="1"/>
          <w:bCs w:val="1"/>
          <w:color w:val="auto"/>
        </w:rPr>
        <w:t>Notice of Default</w:t>
      </w:r>
      <w:r>
        <w:rPr>
          <w:rFonts w:ascii="Times New Roman" w:cs="Times New Roman" w:eastAsia="Times New Roman" w:hAnsi="Times New Roman"/>
          <w:sz w:val="14"/>
          <w:szCs w:val="14"/>
          <w:color w:val="auto"/>
        </w:rPr>
        <w:t>” hereunder, shall have been given to the Company by the Trustee or to the Company and the Trustee by the holders of at least 25% in principal amount of the Securities of that series at the time Outstanding;</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0" w:right="1440" w:bottom="1440" w:gutter="0" w:footer="0" w:header="0"/>
        </w:sectPr>
      </w:pPr>
    </w:p>
    <w:bookmarkStart w:id="118" w:name="page119"/>
    <w:bookmarkEnd w:id="118"/>
    <w:p>
      <w:pPr>
        <w:ind w:left="660" w:right="339" w:firstLine="717"/>
        <w:spacing w:after="0" w:line="255" w:lineRule="auto"/>
        <w:tabs>
          <w:tab w:leader="none" w:pos="1577" w:val="left"/>
        </w:tabs>
        <w:numPr>
          <w:ilvl w:val="2"/>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61" w:lineRule="exact"/>
        <w:rPr>
          <w:rFonts w:ascii="Times New Roman" w:cs="Times New Roman" w:eastAsia="Times New Roman" w:hAnsi="Times New Roman"/>
          <w:sz w:val="14"/>
          <w:szCs w:val="14"/>
          <w:color w:val="auto"/>
        </w:rPr>
      </w:pPr>
    </w:p>
    <w:p>
      <w:pPr>
        <w:ind w:left="660" w:right="379" w:firstLine="717"/>
        <w:spacing w:after="0" w:line="255" w:lineRule="auto"/>
        <w:tabs>
          <w:tab w:leader="none" w:pos="1577" w:val="left"/>
        </w:tabs>
        <w:numPr>
          <w:ilvl w:val="2"/>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43" w:lineRule="exact"/>
        <w:rPr>
          <w:rFonts w:ascii="Times New Roman" w:cs="Times New Roman" w:eastAsia="Times New Roman" w:hAnsi="Times New Roman"/>
          <w:sz w:val="14"/>
          <w:szCs w:val="14"/>
          <w:color w:val="auto"/>
        </w:rPr>
      </w:pPr>
    </w:p>
    <w:p>
      <w:pPr>
        <w:ind w:left="320" w:right="379" w:firstLine="752"/>
        <w:spacing w:after="0" w:line="267" w:lineRule="auto"/>
        <w:tabs>
          <w:tab w:leader="none" w:pos="1267" w:val="left"/>
        </w:tabs>
        <w:numPr>
          <w:ilvl w:val="1"/>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w:t>
      </w:r>
    </w:p>
    <w:p>
      <w:pPr>
        <w:ind w:left="320" w:right="379" w:hanging="1"/>
        <w:spacing w:after="0" w:line="249" w:lineRule="auto"/>
        <w:tabs>
          <w:tab w:leader="none" w:pos="514"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46" w:lineRule="exact"/>
        <w:rPr>
          <w:rFonts w:ascii="Times New Roman" w:cs="Times New Roman" w:eastAsia="Times New Roman" w:hAnsi="Times New Roman"/>
          <w:sz w:val="14"/>
          <w:szCs w:val="14"/>
          <w:color w:val="auto"/>
        </w:rPr>
      </w:pPr>
    </w:p>
    <w:p>
      <w:pPr>
        <w:ind w:left="320" w:right="339" w:firstLine="752"/>
        <w:spacing w:after="0" w:line="268" w:lineRule="auto"/>
        <w:tabs>
          <w:tab w:leader="none" w:pos="1259" w:val="left"/>
        </w:tabs>
        <w:numPr>
          <w:ilvl w:val="1"/>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w:t>
      </w:r>
      <w:r>
        <w:rPr>
          <w:rFonts w:ascii="Times New Roman" w:cs="Times New Roman" w:eastAsia="Times New Roman" w:hAnsi="Times New Roman"/>
          <w:sz w:val="13"/>
          <w:szCs w:val="13"/>
          <w:u w:val="single" w:color="auto"/>
          <w:color w:val="auto"/>
        </w:rPr>
        <w:t>Section 7.06</w:t>
      </w:r>
      <w:r>
        <w:rPr>
          <w:rFonts w:ascii="Times New Roman" w:cs="Times New Roman" w:eastAsia="Times New Roman" w:hAnsi="Times New Roman"/>
          <w:sz w:val="13"/>
          <w:szCs w:val="13"/>
          <w:color w:val="auto"/>
        </w:rPr>
        <w:t xml:space="preserve">,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w:t>
      </w:r>
      <w:r>
        <w:rPr>
          <w:rFonts w:ascii="Times New Roman" w:cs="Times New Roman" w:eastAsia="Times New Roman" w:hAnsi="Times New Roman"/>
          <w:sz w:val="13"/>
          <w:szCs w:val="13"/>
          <w:u w:val="single" w:color="auto"/>
          <w:color w:val="auto"/>
        </w:rPr>
        <w:t>Section 6.06</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No such rescission and annulment shall extend to or shall affect any subsequent default or impair any right consequent thereon.</w:t>
      </w:r>
    </w:p>
    <w:p>
      <w:pPr>
        <w:spacing w:after="0" w:line="11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0" w:right="1440" w:bottom="1440" w:gutter="0" w:footer="0" w:header="0"/>
        </w:sectPr>
      </w:pPr>
    </w:p>
    <w:bookmarkStart w:id="119" w:name="page120"/>
    <w:bookmarkEnd w:id="119"/>
    <w:p>
      <w:pPr>
        <w:ind w:left="320" w:right="379" w:firstLine="752"/>
        <w:spacing w:after="0" w:line="250" w:lineRule="auto"/>
        <w:tabs>
          <w:tab w:leader="none" w:pos="1267"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6.02 </w:t>
      </w:r>
      <w:r>
        <w:rPr>
          <w:rFonts w:ascii="Times New Roman" w:cs="Times New Roman" w:eastAsia="Times New Roman" w:hAnsi="Times New Roman"/>
          <w:sz w:val="14"/>
          <w:szCs w:val="14"/>
          <w:u w:val="single" w:color="auto"/>
          <w:color w:val="auto"/>
        </w:rPr>
        <w:t>Collection of Indebtedness and Suits for Enforcement by Trustee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752"/>
        <w:spacing w:after="0" w:line="249" w:lineRule="auto"/>
        <w:tabs>
          <w:tab w:leader="none" w:pos="1259"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covenants that if an Event of Default described in Section 6.01(a) or 6.01(b) shall have occurred with respect to the Securities of any series,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w:t>
      </w:r>
      <w:r>
        <w:rPr>
          <w:rFonts w:ascii="Times New Roman" w:cs="Times New Roman" w:eastAsia="Times New Roman" w:hAnsi="Times New Roman"/>
          <w:sz w:val="14"/>
          <w:szCs w:val="14"/>
          <w:u w:val="single" w:color="auto"/>
          <w:color w:val="auto"/>
        </w:rPr>
        <w:t>Section 7.06</w:t>
      </w:r>
      <w:r>
        <w:rPr>
          <w:rFonts w:ascii="Times New Roman" w:cs="Times New Roman" w:eastAsia="Times New Roman" w:hAnsi="Times New Roman"/>
          <w:sz w:val="14"/>
          <w:szCs w:val="14"/>
          <w:color w:val="auto"/>
        </w:rPr>
        <w:t>.</w:t>
      </w:r>
    </w:p>
    <w:p>
      <w:pPr>
        <w:spacing w:after="0" w:line="146" w:lineRule="exact"/>
        <w:rPr>
          <w:rFonts w:ascii="Times New Roman" w:cs="Times New Roman" w:eastAsia="Times New Roman" w:hAnsi="Times New Roman"/>
          <w:sz w:val="14"/>
          <w:szCs w:val="14"/>
          <w:color w:val="auto"/>
        </w:rPr>
      </w:pPr>
    </w:p>
    <w:p>
      <w:pPr>
        <w:ind w:left="320" w:right="339" w:firstLine="752"/>
        <w:spacing w:after="0" w:line="250" w:lineRule="auto"/>
        <w:tabs>
          <w:tab w:leader="none" w:pos="1267"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46" w:lineRule="exact"/>
        <w:rPr>
          <w:rFonts w:ascii="Times New Roman" w:cs="Times New Roman" w:eastAsia="Times New Roman" w:hAnsi="Times New Roman"/>
          <w:sz w:val="14"/>
          <w:szCs w:val="14"/>
          <w:color w:val="auto"/>
        </w:rPr>
      </w:pPr>
    </w:p>
    <w:p>
      <w:pPr>
        <w:ind w:left="320" w:right="359" w:firstLine="752"/>
        <w:spacing w:after="0" w:line="268" w:lineRule="auto"/>
        <w:tabs>
          <w:tab w:leader="none" w:pos="1259"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case of any receivership, insolvency, liquidation, bankruptcy, reorganization, readjustment, arrangement, composition or judicial proceedings affecting the Company, or its creditors or property, irrespective of whether the Trustee shall have made any demand pursuant to this </w:t>
      </w:r>
      <w:r>
        <w:rPr>
          <w:rFonts w:ascii="Times New Roman" w:cs="Times New Roman" w:eastAsia="Times New Roman" w:hAnsi="Times New Roman"/>
          <w:sz w:val="13"/>
          <w:szCs w:val="13"/>
          <w:u w:val="single" w:color="auto"/>
          <w:color w:val="auto"/>
        </w:rPr>
        <w:t>Section 6.02</w:t>
      </w:r>
      <w:r>
        <w:rPr>
          <w:rFonts w:ascii="Times New Roman" w:cs="Times New Roman" w:eastAsia="Times New Roman" w:hAnsi="Times New Roman"/>
          <w:sz w:val="13"/>
          <w:szCs w:val="13"/>
          <w:color w:val="auto"/>
        </w:rPr>
        <w:t xml:space="preserve">,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w:t>
      </w:r>
      <w:r>
        <w:rPr>
          <w:rFonts w:ascii="Times New Roman" w:cs="Times New Roman" w:eastAsia="Times New Roman" w:hAnsi="Times New Roman"/>
          <w:sz w:val="13"/>
          <w:szCs w:val="13"/>
          <w:u w:val="single" w:color="auto"/>
          <w:color w:val="auto"/>
        </w:rPr>
        <w:t>Section 7.06</w:t>
      </w:r>
      <w:r>
        <w:rPr>
          <w:rFonts w:ascii="Times New Roman" w:cs="Times New Roman" w:eastAsia="Times New Roman" w:hAnsi="Times New Roman"/>
          <w:sz w:val="13"/>
          <w:szCs w:val="13"/>
          <w:color w:val="auto"/>
        </w:rPr>
        <w: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0" w:right="1440" w:bottom="1440" w:gutter="0" w:footer="0" w:header="0"/>
        </w:sectPr>
      </w:pPr>
    </w:p>
    <w:bookmarkStart w:id="120" w:name="page121"/>
    <w:bookmarkEnd w:id="120"/>
    <w:p>
      <w:pPr>
        <w:ind w:left="320" w:right="339" w:firstLine="752"/>
        <w:spacing w:after="0" w:line="250" w:lineRule="auto"/>
        <w:tabs>
          <w:tab w:leader="none" w:pos="1267"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w:t>
      </w:r>
      <w:r>
        <w:rPr>
          <w:rFonts w:ascii="Times New Roman" w:cs="Times New Roman" w:eastAsia="Times New Roman" w:hAnsi="Times New Roman"/>
          <w:sz w:val="14"/>
          <w:szCs w:val="14"/>
          <w:u w:val="single" w:color="auto"/>
          <w:color w:val="auto"/>
        </w:rPr>
        <w:t>Section 7.06</w:t>
      </w:r>
      <w:r>
        <w:rPr>
          <w:rFonts w:ascii="Times New Roman" w:cs="Times New Roman" w:eastAsia="Times New Roman" w:hAnsi="Times New Roman"/>
          <w:sz w:val="14"/>
          <w:szCs w:val="14"/>
          <w:color w:val="auto"/>
        </w:rPr>
        <w:t>, be for the ratable benefit of the holders of the Securities of such series.</w:t>
      </w:r>
    </w:p>
    <w:p>
      <w:pPr>
        <w:spacing w:after="0" w:line="146" w:lineRule="exact"/>
        <w:rPr>
          <w:sz w:val="20"/>
          <w:szCs w:val="20"/>
          <w:color w:val="auto"/>
        </w:rPr>
      </w:pPr>
    </w:p>
    <w:p>
      <w:pPr>
        <w:ind w:left="320" w:right="459" w:firstLine="335"/>
        <w:spacing w:after="0" w:line="277" w:lineRule="auto"/>
        <w:rPr>
          <w:sz w:val="20"/>
          <w:szCs w:val="20"/>
          <w:color w:val="auto"/>
        </w:rPr>
      </w:pPr>
      <w:r>
        <w:rPr>
          <w:rFonts w:ascii="Times New Roman" w:cs="Times New Roman" w:eastAsia="Times New Roman" w:hAnsi="Times New Roman"/>
          <w:sz w:val="13"/>
          <w:szCs w:val="13"/>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31" w:lineRule="exact"/>
        <w:rPr>
          <w:sz w:val="20"/>
          <w:szCs w:val="20"/>
          <w:color w:val="auto"/>
        </w:rPr>
      </w:pPr>
    </w:p>
    <w:p>
      <w:pPr>
        <w:ind w:left="320" w:right="539" w:firstLine="335"/>
        <w:spacing w:after="0" w:line="255" w:lineRule="auto"/>
        <w:rPr>
          <w:sz w:val="20"/>
          <w:szCs w:val="20"/>
          <w:color w:val="auto"/>
        </w:rPr>
      </w:pPr>
      <w:r>
        <w:rPr>
          <w:rFonts w:ascii="Times New Roman" w:cs="Times New Roman" w:eastAsia="Times New Roman" w:hAnsi="Times New Roman"/>
          <w:sz w:val="14"/>
          <w:szCs w:val="14"/>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6.03 </w:t>
      </w:r>
      <w:r>
        <w:rPr>
          <w:rFonts w:ascii="Times New Roman" w:cs="Times New Roman" w:eastAsia="Times New Roman" w:hAnsi="Times New Roman"/>
          <w:sz w:val="14"/>
          <w:szCs w:val="14"/>
          <w:u w:val="single" w:color="auto"/>
          <w:color w:val="auto"/>
        </w:rPr>
        <w:t>Application of Moneys Collected</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left="320" w:right="399" w:firstLine="335"/>
        <w:spacing w:after="0" w:line="252" w:lineRule="auto"/>
        <w:rPr>
          <w:sz w:val="20"/>
          <w:szCs w:val="20"/>
          <w:color w:val="auto"/>
        </w:rPr>
      </w:pPr>
      <w:r>
        <w:rPr>
          <w:rFonts w:ascii="Times New Roman" w:cs="Times New Roman" w:eastAsia="Times New Roman" w:hAnsi="Times New Roman"/>
          <w:sz w:val="14"/>
          <w:szCs w:val="14"/>
          <w:color w:val="auto"/>
        </w:rPr>
        <w:t>Any moneys or properties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41" w:lineRule="exact"/>
        <w:rPr>
          <w:sz w:val="20"/>
          <w:szCs w:val="20"/>
          <w:color w:val="auto"/>
        </w:rPr>
      </w:pPr>
    </w:p>
    <w:p>
      <w:pPr>
        <w:ind w:left="320" w:right="979" w:firstLine="335"/>
        <w:spacing w:after="0" w:line="272" w:lineRule="auto"/>
        <w:rPr>
          <w:sz w:val="20"/>
          <w:szCs w:val="20"/>
          <w:color w:val="auto"/>
        </w:rPr>
      </w:pPr>
      <w:r>
        <w:rPr>
          <w:rFonts w:ascii="Times New Roman" w:cs="Times New Roman" w:eastAsia="Times New Roman" w:hAnsi="Times New Roman"/>
          <w:sz w:val="14"/>
          <w:szCs w:val="14"/>
          <w:b w:val="1"/>
          <w:bCs w:val="1"/>
          <w:color w:val="auto"/>
        </w:rPr>
        <w:t>FIRST</w:t>
      </w:r>
      <w:r>
        <w:rPr>
          <w:rFonts w:ascii="Times New Roman" w:cs="Times New Roman" w:eastAsia="Times New Roman" w:hAnsi="Times New Roman"/>
          <w:sz w:val="14"/>
          <w:szCs w:val="14"/>
          <w:color w:val="auto"/>
        </w:rPr>
        <w:t>: To the payment of all indebtedness of the Company to which such series of Securities is subordinated to the extent required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Section 7.06 and any subordination terms of the series specified as contemplated by Article 14;</w:t>
      </w:r>
    </w:p>
    <w:p>
      <w:pPr>
        <w:spacing w:after="0" w:line="127" w:lineRule="exact"/>
        <w:rPr>
          <w:sz w:val="20"/>
          <w:szCs w:val="20"/>
          <w:color w:val="auto"/>
        </w:rPr>
      </w:pPr>
    </w:p>
    <w:p>
      <w:pPr>
        <w:ind w:left="320" w:right="359" w:firstLine="335"/>
        <w:spacing w:after="0" w:line="258" w:lineRule="auto"/>
        <w:rPr>
          <w:sz w:val="20"/>
          <w:szCs w:val="20"/>
          <w:color w:val="auto"/>
        </w:rPr>
      </w:pPr>
      <w:r>
        <w:rPr>
          <w:rFonts w:ascii="Times New Roman" w:cs="Times New Roman" w:eastAsia="Times New Roman" w:hAnsi="Times New Roman"/>
          <w:sz w:val="14"/>
          <w:szCs w:val="14"/>
          <w:b w:val="1"/>
          <w:bCs w:val="1"/>
          <w:color w:val="auto"/>
        </w:rPr>
        <w:t>SECOND</w:t>
      </w:r>
      <w:r>
        <w:rPr>
          <w:rFonts w:ascii="Times New Roman" w:cs="Times New Roman" w:eastAsia="Times New Roman" w:hAnsi="Times New Roman"/>
          <w:sz w:val="14"/>
          <w:szCs w:val="14"/>
          <w:color w:val="auto"/>
        </w:rPr>
        <w:t>: To the payment of the amounts then due and unpaid upon Securities of such series for principal (and premium, if any) and interest,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THIRD</w:t>
      </w:r>
      <w:r>
        <w:rPr>
          <w:rFonts w:ascii="Times New Roman" w:cs="Times New Roman" w:eastAsia="Times New Roman" w:hAnsi="Times New Roman"/>
          <w:sz w:val="14"/>
          <w:szCs w:val="14"/>
          <w:color w:val="auto"/>
        </w:rPr>
        <w:t>: To the payment of the remainder, if any, to the Company or any other Person lawfully entitled thereto.</w:t>
      </w:r>
    </w:p>
    <w:p>
      <w:pPr>
        <w:spacing w:after="0" w:line="1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9" w:right="1440" w:bottom="1440" w:gutter="0" w:footer="0" w:header="0"/>
        </w:sectPr>
      </w:pPr>
    </w:p>
    <w:bookmarkStart w:id="121" w:name="page122"/>
    <w:bookmarkEnd w:id="121"/>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6.04 </w:t>
      </w:r>
      <w:r>
        <w:rPr>
          <w:rFonts w:ascii="Times New Roman" w:cs="Times New Roman" w:eastAsia="Times New Roman" w:hAnsi="Times New Roman"/>
          <w:sz w:val="14"/>
          <w:szCs w:val="14"/>
          <w:u w:val="single" w:color="auto"/>
          <w:color w:val="auto"/>
        </w:rPr>
        <w:t>Limitation on Suits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268" w:lineRule="auto"/>
        <w:rPr>
          <w:sz w:val="20"/>
          <w:szCs w:val="20"/>
          <w:color w:val="auto"/>
        </w:rPr>
      </w:pPr>
      <w:r>
        <w:rPr>
          <w:rFonts w:ascii="Times New Roman" w:cs="Times New Roman" w:eastAsia="Times New Roman" w:hAnsi="Times New Roman"/>
          <w:sz w:val="13"/>
          <w:szCs w:val="13"/>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indemnity reasonably satisfactory to it as it may require against the costs, expenses, claims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39" w:lineRule="exact"/>
        <w:rPr>
          <w:sz w:val="20"/>
          <w:szCs w:val="20"/>
          <w:color w:val="auto"/>
        </w:rPr>
      </w:pPr>
    </w:p>
    <w:p>
      <w:pPr>
        <w:ind w:left="320" w:right="359" w:firstLine="335"/>
        <w:spacing w:after="0" w:line="246" w:lineRule="auto"/>
        <w:rPr>
          <w:sz w:val="20"/>
          <w:szCs w:val="20"/>
          <w:color w:val="auto"/>
        </w:rPr>
      </w:pPr>
      <w:r>
        <w:rPr>
          <w:rFonts w:ascii="Times New Roman" w:cs="Times New Roman" w:eastAsia="Times New Roman" w:hAnsi="Times New Roman"/>
          <w:sz w:val="14"/>
          <w:szCs w:val="14"/>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(it being understood that the Trustee does not have an affirmative duty to ascertain whether or not such actions or forbearances are unduly prejudicial to such holders),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6.05 </w:t>
      </w:r>
      <w:r>
        <w:rPr>
          <w:rFonts w:ascii="Times New Roman" w:cs="Times New Roman" w:eastAsia="Times New Roman" w:hAnsi="Times New Roman"/>
          <w:sz w:val="14"/>
          <w:szCs w:val="14"/>
          <w:u w:val="single" w:color="auto"/>
          <w:color w:val="auto"/>
        </w:rPr>
        <w:t>Rights and Remedies Cumulative; Delay or Omission Not Waiver</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752"/>
        <w:spacing w:after="0" w:line="252" w:lineRule="auto"/>
        <w:tabs>
          <w:tab w:leader="none" w:pos="1259"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otherwise provided in </w:t>
      </w:r>
      <w:r>
        <w:rPr>
          <w:rFonts w:ascii="Times New Roman" w:cs="Times New Roman" w:eastAsia="Times New Roman" w:hAnsi="Times New Roman"/>
          <w:sz w:val="14"/>
          <w:szCs w:val="14"/>
          <w:u w:val="single" w:color="auto"/>
          <w:color w:val="auto"/>
        </w:rPr>
        <w:t>Section 2.07</w:t>
      </w:r>
      <w:r>
        <w:rPr>
          <w:rFonts w:ascii="Times New Roman" w:cs="Times New Roman" w:eastAsia="Times New Roman" w:hAnsi="Times New Roman"/>
          <w:sz w:val="14"/>
          <w:szCs w:val="14"/>
          <w:color w:val="auto"/>
        </w:rPr>
        <w:t>,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44" w:lineRule="exact"/>
        <w:rPr>
          <w:rFonts w:ascii="Times New Roman" w:cs="Times New Roman" w:eastAsia="Times New Roman" w:hAnsi="Times New Roman"/>
          <w:sz w:val="14"/>
          <w:szCs w:val="14"/>
          <w:color w:val="auto"/>
        </w:rPr>
      </w:pPr>
    </w:p>
    <w:p>
      <w:pPr>
        <w:ind w:left="320" w:right="359" w:firstLine="752"/>
        <w:spacing w:after="0" w:line="252" w:lineRule="auto"/>
        <w:tabs>
          <w:tab w:leader="none" w:pos="1267"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w:t>
      </w:r>
      <w:r>
        <w:rPr>
          <w:rFonts w:ascii="Times New Roman" w:cs="Times New Roman" w:eastAsia="Times New Roman" w:hAnsi="Times New Roman"/>
          <w:sz w:val="14"/>
          <w:szCs w:val="14"/>
          <w:u w:val="single" w:color="auto"/>
          <w:color w:val="auto"/>
        </w:rPr>
        <w:t>Section 6.04</w:t>
      </w:r>
      <w:r>
        <w:rPr>
          <w:rFonts w:ascii="Times New Roman" w:cs="Times New Roman" w:eastAsia="Times New Roman" w:hAnsi="Times New Roman"/>
          <w:sz w:val="14"/>
          <w:szCs w:val="14"/>
          <w:color w:val="auto"/>
        </w:rPr>
        <w:t>, every power and remedy given by this Article or by law to the Trustee or the Securityholders may be exercised from time to time, and as often as shall be deemed expedient, by the Trustee or by the Securityholders.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0" w:right="1440" w:bottom="1440" w:gutter="0" w:footer="0" w:header="0"/>
        </w:sectPr>
      </w:pPr>
    </w:p>
    <w:bookmarkStart w:id="122" w:name="page123"/>
    <w:bookmarkEnd w:id="122"/>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6.06 </w:t>
      </w:r>
      <w:r>
        <w:rPr>
          <w:rFonts w:ascii="Times New Roman" w:cs="Times New Roman" w:eastAsia="Times New Roman" w:hAnsi="Times New Roman"/>
          <w:sz w:val="14"/>
          <w:szCs w:val="14"/>
          <w:u w:val="single" w:color="auto"/>
          <w:color w:val="auto"/>
        </w:rPr>
        <w:t>Control by Securityholders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246" w:lineRule="auto"/>
        <w:rPr>
          <w:sz w:val="20"/>
          <w:szCs w:val="20"/>
          <w:color w:val="auto"/>
        </w:rPr>
      </w:pPr>
      <w:r>
        <w:rPr>
          <w:rFonts w:ascii="Times New Roman" w:cs="Times New Roman" w:eastAsia="Times New Roman" w:hAnsi="Times New Roman"/>
          <w:sz w:val="14"/>
          <w:szCs w:val="14"/>
          <w:color w:val="auto"/>
        </w:rPr>
        <w:t xml:space="preserve">The holders of a majority in aggregate principal amount of the Securities of any series at the time Outstanding, determined in accordance with </w:t>
      </w:r>
      <w:r>
        <w:rPr>
          <w:rFonts w:ascii="Times New Roman" w:cs="Times New Roman" w:eastAsia="Times New Roman" w:hAnsi="Times New Roman"/>
          <w:sz w:val="14"/>
          <w:szCs w:val="14"/>
          <w:u w:val="single" w:color="auto"/>
          <w:color w:val="auto"/>
        </w:rPr>
        <w:t>Section 8.04</w:t>
      </w:r>
      <w:r>
        <w:rPr>
          <w:rFonts w:ascii="Times New Roman" w:cs="Times New Roman" w:eastAsia="Times New Roman" w:hAnsi="Times New Roman"/>
          <w:sz w:val="14"/>
          <w:szCs w:val="14"/>
          <w:color w:val="auto"/>
        </w:rPr>
        <w:t xml:space="preserve">, shall have the right to direct the time, method and place of conducting any proceeding for any remedy available to the Trustee, or exercising any trust or power conferred on the Trustee with respect to such series;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such direction shall not be in conflict with any rule of law or with this Indenture or subject the Trustee in its sole discretion to personal liability. The Trustee shall have the right to decline to follow any such direction if the Trustee in good faith shall determine that the proceeding so directed, subject to the Trustee’s duties under the Trust Indenture Act, would involve the Trustee in personal liability or might be unduly prejudicial to the Securityholders not involved in the proceeding. Prior to taking any action under this Indenture, the Trustee shall be entitled to indemnity or security satisfactory to it against loss, liability or expense that may be caused by taking such action. The holders of a majority in aggregate principal amount of the Securities of any series at the time Outstanding affected thereby, determined in accordance with </w:t>
      </w:r>
      <w:r>
        <w:rPr>
          <w:rFonts w:ascii="Times New Roman" w:cs="Times New Roman" w:eastAsia="Times New Roman" w:hAnsi="Times New Roman"/>
          <w:sz w:val="14"/>
          <w:szCs w:val="14"/>
          <w:u w:val="single" w:color="auto"/>
          <w:color w:val="auto"/>
        </w:rPr>
        <w:t>Section 8.04</w:t>
      </w:r>
      <w:r>
        <w:rPr>
          <w:rFonts w:ascii="Times New Roman" w:cs="Times New Roman" w:eastAsia="Times New Roman" w:hAnsi="Times New Roman"/>
          <w:sz w:val="14"/>
          <w:szCs w:val="14"/>
          <w:color w:val="auto"/>
        </w:rPr>
        <w:t xml:space="preserve">, may on behalf of the holders of all of the Securities of such series waive any past default in the performance of any of the covenants contained herein or established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w:t>
      </w:r>
      <w:r>
        <w:rPr>
          <w:rFonts w:ascii="Times New Roman" w:cs="Times New Roman" w:eastAsia="Times New Roman" w:hAnsi="Times New Roman"/>
          <w:sz w:val="14"/>
          <w:szCs w:val="14"/>
          <w:u w:val="single" w:color="auto"/>
          <w:color w:val="auto"/>
        </w:rPr>
        <w:t>Section 6.01(c)</w:t>
      </w:r>
      <w:r>
        <w:rPr>
          <w:rFonts w:ascii="Times New Roman" w:cs="Times New Roman" w:eastAsia="Times New Roman" w:hAnsi="Times New Roman"/>
          <w:sz w:val="14"/>
          <w:szCs w:val="14"/>
          <w:color w:val="auto"/>
        </w:rPr>
        <w:t>).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6.07 </w:t>
      </w:r>
      <w:r>
        <w:rPr>
          <w:rFonts w:ascii="Times New Roman" w:cs="Times New Roman" w:eastAsia="Times New Roman" w:hAnsi="Times New Roman"/>
          <w:sz w:val="14"/>
          <w:szCs w:val="14"/>
          <w:u w:val="single" w:color="auto"/>
          <w:color w:val="auto"/>
        </w:rPr>
        <w:t>Undertaking to Pay Costs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335"/>
        <w:spacing w:after="0" w:line="269" w:lineRule="auto"/>
        <w:rPr>
          <w:sz w:val="20"/>
          <w:szCs w:val="20"/>
          <w:color w:val="auto"/>
        </w:rPr>
      </w:pPr>
      <w:r>
        <w:rPr>
          <w:rFonts w:ascii="Times New Roman" w:cs="Times New Roman" w:eastAsia="Times New Roman" w:hAnsi="Times New Roman"/>
          <w:sz w:val="13"/>
          <w:szCs w:val="13"/>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40" w:right="1440"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ARTICLE 7</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7.01 </w:t>
      </w:r>
      <w:r>
        <w:rPr>
          <w:rFonts w:ascii="Times New Roman" w:cs="Times New Roman" w:eastAsia="Times New Roman" w:hAnsi="Times New Roman"/>
          <w:sz w:val="14"/>
          <w:szCs w:val="14"/>
          <w:u w:val="single" w:color="auto"/>
          <w:color w:val="auto"/>
        </w:rPr>
        <w:t>Certain Duties and Responsibilities of Trustee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752"/>
        <w:spacing w:after="0" w:line="269" w:lineRule="auto"/>
        <w:tabs>
          <w:tab w:leader="none" w:pos="1259"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w:t>
      </w:r>
    </w:p>
    <w:p>
      <w:pPr>
        <w:spacing w:after="0" w:line="1" w:lineRule="exact"/>
        <w:rPr>
          <w:rFonts w:ascii="Times New Roman" w:cs="Times New Roman" w:eastAsia="Times New Roman" w:hAnsi="Times New Roman"/>
          <w:sz w:val="13"/>
          <w:szCs w:val="13"/>
          <w:color w:val="auto"/>
        </w:rPr>
      </w:pPr>
    </w:p>
    <w:p>
      <w:pPr>
        <w:ind w:left="320" w:right="379"/>
        <w:spacing w:after="0" w:line="24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person would exercise or use under the circumstances in the conduct of such person’s own affairs.</w:t>
      </w:r>
    </w:p>
    <w:p>
      <w:pPr>
        <w:spacing w:after="0" w:line="147" w:lineRule="exact"/>
        <w:rPr>
          <w:rFonts w:ascii="Times New Roman" w:cs="Times New Roman" w:eastAsia="Times New Roman" w:hAnsi="Times New Roman"/>
          <w:sz w:val="13"/>
          <w:szCs w:val="13"/>
          <w:color w:val="auto"/>
        </w:rPr>
      </w:pPr>
    </w:p>
    <w:p>
      <w:pPr>
        <w:ind w:left="320" w:right="579" w:firstLine="752"/>
        <w:spacing w:after="0" w:line="266" w:lineRule="auto"/>
        <w:tabs>
          <w:tab w:leader="none" w:pos="1267"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provision of this Indenture shall be construed to relieve the Trustee from liability for its own negligent action, its own negligent failure to act, or its own willful misconduct, except that:</w:t>
      </w:r>
    </w:p>
    <w:p>
      <w:pPr>
        <w:spacing w:after="0" w:line="53" w:lineRule="exact"/>
        <w:rPr>
          <w:rFonts w:ascii="Times New Roman" w:cs="Times New Roman" w:eastAsia="Times New Roman" w:hAnsi="Times New Roman"/>
          <w:sz w:val="14"/>
          <w:szCs w:val="14"/>
          <w:color w:val="auto"/>
        </w:rPr>
      </w:pPr>
    </w:p>
    <w:p>
      <w:pPr>
        <w:ind w:left="1080" w:right="499" w:firstLine="678"/>
        <w:spacing w:after="0" w:line="266" w:lineRule="auto"/>
        <w:tabs>
          <w:tab w:leader="none" w:pos="1959" w:val="left"/>
        </w:tabs>
        <w:numPr>
          <w:ilvl w:val="1"/>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occurrence of an Event of Default with respect to the Securities of a series and after the curing or waiving of all such Events of Default with respect to that series that may have occurred:</w:t>
      </w:r>
    </w:p>
    <w:p>
      <w:pPr>
        <w:spacing w:after="0" w:line="53" w:lineRule="exact"/>
        <w:rPr>
          <w:rFonts w:ascii="Times New Roman" w:cs="Times New Roman" w:eastAsia="Times New Roman" w:hAnsi="Times New Roman"/>
          <w:sz w:val="14"/>
          <w:szCs w:val="14"/>
          <w:color w:val="auto"/>
        </w:rPr>
      </w:pPr>
    </w:p>
    <w:p>
      <w:pPr>
        <w:ind w:left="1080" w:right="439" w:firstLine="982"/>
        <w:spacing w:after="0" w:line="252" w:lineRule="auto"/>
        <w:tabs>
          <w:tab w:leader="none" w:pos="2294" w:val="left"/>
        </w:tabs>
        <w:numPr>
          <w:ilvl w:val="2"/>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62" w:lineRule="exact"/>
        <w:rPr>
          <w:rFonts w:ascii="Times New Roman" w:cs="Times New Roman" w:eastAsia="Times New Roman" w:hAnsi="Times New Roman"/>
          <w:sz w:val="14"/>
          <w:szCs w:val="14"/>
          <w:color w:val="auto"/>
        </w:rPr>
      </w:pPr>
    </w:p>
    <w:p>
      <w:pPr>
        <w:ind w:left="1080" w:right="359" w:firstLine="982"/>
        <w:spacing w:after="0" w:line="249" w:lineRule="auto"/>
        <w:tabs>
          <w:tab w:leader="none" w:pos="2287" w:val="left"/>
        </w:tabs>
        <w:numPr>
          <w:ilvl w:val="2"/>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absence of willful misconduct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64" w:lineRule="exact"/>
        <w:rPr>
          <w:rFonts w:ascii="Times New Roman" w:cs="Times New Roman" w:eastAsia="Times New Roman" w:hAnsi="Times New Roman"/>
          <w:sz w:val="14"/>
          <w:szCs w:val="14"/>
          <w:color w:val="auto"/>
        </w:rPr>
      </w:pPr>
    </w:p>
    <w:p>
      <w:pPr>
        <w:ind w:left="1080" w:right="719" w:firstLine="678"/>
        <w:spacing w:after="0" w:line="266" w:lineRule="auto"/>
        <w:tabs>
          <w:tab w:leader="none" w:pos="1959" w:val="left"/>
        </w:tabs>
        <w:numPr>
          <w:ilvl w:val="1"/>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6" w:right="1440" w:bottom="1440" w:gutter="0" w:footer="0" w:header="0"/>
        </w:sectPr>
      </w:pPr>
    </w:p>
    <w:bookmarkStart w:id="124" w:name="page125"/>
    <w:bookmarkEnd w:id="124"/>
    <w:p>
      <w:pPr>
        <w:ind w:left="660" w:right="459" w:firstLine="717"/>
        <w:spacing w:after="0" w:line="252" w:lineRule="auto"/>
        <w:tabs>
          <w:tab w:leader="none" w:pos="1577"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62" w:lineRule="exact"/>
        <w:rPr>
          <w:rFonts w:ascii="Times New Roman" w:cs="Times New Roman" w:eastAsia="Times New Roman" w:hAnsi="Times New Roman"/>
          <w:sz w:val="14"/>
          <w:szCs w:val="14"/>
          <w:color w:val="auto"/>
        </w:rPr>
      </w:pPr>
    </w:p>
    <w:p>
      <w:pPr>
        <w:ind w:left="660" w:right="479" w:firstLine="717"/>
        <w:spacing w:after="0" w:line="252" w:lineRule="auto"/>
        <w:tabs>
          <w:tab w:leader="none" w:pos="1577"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provisions contained in this Indenture shall require the Trustee to expend or risk its own funds or otherwise incur personal or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7.02 </w:t>
      </w:r>
      <w:r>
        <w:rPr>
          <w:rFonts w:ascii="Times New Roman" w:cs="Times New Roman" w:eastAsia="Times New Roman" w:hAnsi="Times New Roman"/>
          <w:sz w:val="14"/>
          <w:szCs w:val="14"/>
          <w:u w:val="single" w:color="auto"/>
          <w:color w:val="auto"/>
        </w:rPr>
        <w:t>Certain Rights of Trustee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Except as otherwise provided in </w:t>
      </w:r>
      <w:r>
        <w:rPr>
          <w:rFonts w:ascii="Times New Roman" w:cs="Times New Roman" w:eastAsia="Times New Roman" w:hAnsi="Times New Roman"/>
          <w:sz w:val="14"/>
          <w:szCs w:val="14"/>
          <w:u w:val="single" w:color="auto"/>
          <w:color w:val="auto"/>
        </w:rPr>
        <w:t>Section 7.01</w:t>
      </w:r>
      <w:r>
        <w:rPr>
          <w:rFonts w:ascii="Times New Roman" w:cs="Times New Roman" w:eastAsia="Times New Roman" w:hAnsi="Times New Roman"/>
          <w:sz w:val="14"/>
          <w:szCs w:val="14"/>
          <w:color w:val="auto"/>
        </w:rPr>
        <w:t>:</w:t>
      </w:r>
    </w:p>
    <w:p>
      <w:pPr>
        <w:spacing w:after="0" w:line="85" w:lineRule="exact"/>
        <w:rPr>
          <w:sz w:val="20"/>
          <w:szCs w:val="20"/>
          <w:color w:val="auto"/>
        </w:rPr>
      </w:pPr>
    </w:p>
    <w:p>
      <w:pPr>
        <w:ind w:left="320" w:right="439" w:firstLine="752"/>
        <w:spacing w:after="0" w:line="250" w:lineRule="auto"/>
        <w:tabs>
          <w:tab w:leader="none" w:pos="1259"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rely and shall be protected in acting or refraining from acting upon any resolution, certificate, statement, instrument, opinion, report, notice, request, consent, order, approval, bond, security or other paper or document or other evidence of indebtedness believed by it to be genuine and to have been signed or presented by the proper party or parties. The Trustee need not investigate any fact or matter stated in the document. The Trustee shall receive and retain financial reports and statements of the Company to the extent provided herein, but shall have no duty to review or analyze such reports or statements to determine compliance with covenants or other obligations of the Company;</w:t>
      </w:r>
    </w:p>
    <w:p>
      <w:pPr>
        <w:spacing w:after="0" w:line="146" w:lineRule="exact"/>
        <w:rPr>
          <w:rFonts w:ascii="Times New Roman" w:cs="Times New Roman" w:eastAsia="Times New Roman" w:hAnsi="Times New Roman"/>
          <w:sz w:val="14"/>
          <w:szCs w:val="14"/>
          <w:color w:val="auto"/>
        </w:rPr>
      </w:pPr>
    </w:p>
    <w:p>
      <w:pPr>
        <w:ind w:left="320" w:right="399" w:firstLine="752"/>
        <w:spacing w:after="0" w:line="255" w:lineRule="auto"/>
        <w:tabs>
          <w:tab w:leader="none" w:pos="1267"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43" w:lineRule="exact"/>
        <w:rPr>
          <w:rFonts w:ascii="Times New Roman" w:cs="Times New Roman" w:eastAsia="Times New Roman" w:hAnsi="Times New Roman"/>
          <w:sz w:val="14"/>
          <w:szCs w:val="14"/>
          <w:color w:val="auto"/>
        </w:rPr>
      </w:pPr>
    </w:p>
    <w:p>
      <w:pPr>
        <w:ind w:left="320" w:right="459" w:firstLine="752"/>
        <w:spacing w:after="0" w:line="305" w:lineRule="auto"/>
        <w:tabs>
          <w:tab w:leader="none" w:pos="1259"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consult with counsel of its selection and the advice of such counsel or, if requested, any Opinion of Counsel shall be full and complete authorization and protection in respect of any action taken or suffered or omitted hereunder in good faith and in reliance thereon;</w:t>
      </w:r>
    </w:p>
    <w:p>
      <w:pPr>
        <w:spacing w:after="0" w:line="112" w:lineRule="exact"/>
        <w:rPr>
          <w:rFonts w:ascii="Times New Roman" w:cs="Times New Roman" w:eastAsia="Times New Roman" w:hAnsi="Times New Roman"/>
          <w:sz w:val="13"/>
          <w:szCs w:val="13"/>
          <w:color w:val="auto"/>
        </w:rPr>
      </w:pPr>
    </w:p>
    <w:p>
      <w:pPr>
        <w:ind w:left="320" w:right="379" w:firstLine="752"/>
        <w:spacing w:after="0" w:line="284" w:lineRule="auto"/>
        <w:tabs>
          <w:tab w:leader="none" w:pos="1267"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(and if requested, provided) to the Trustee security or indemnity satisfactory to it against the costs, expenses, claims and liabilities that may be inclined therein or thereby;</w:t>
      </w:r>
    </w:p>
    <w:p>
      <w:pPr>
        <w:spacing w:after="0" w:line="125" w:lineRule="exact"/>
        <w:rPr>
          <w:rFonts w:ascii="Times New Roman" w:cs="Times New Roman" w:eastAsia="Times New Roman" w:hAnsi="Times New Roman"/>
          <w:sz w:val="13"/>
          <w:szCs w:val="13"/>
          <w:color w:val="auto"/>
        </w:rPr>
      </w:pPr>
    </w:p>
    <w:p>
      <w:pPr>
        <w:ind w:left="320" w:right="659" w:firstLine="752"/>
        <w:spacing w:after="0" w:line="266" w:lineRule="auto"/>
        <w:tabs>
          <w:tab w:leader="none" w:pos="1259"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action taken or omitted to be taken by it in good faith and believed by it to be authorized or within the discretion or rights or powers conferred upon it by this Indenture;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40" w:right="1440" w:bottom="1440" w:gutter="0" w:footer="0" w:header="0"/>
        </w:sectPr>
      </w:pPr>
    </w:p>
    <w:bookmarkStart w:id="125" w:name="page126"/>
    <w:bookmarkEnd w:id="125"/>
    <w:p>
      <w:pPr>
        <w:ind w:left="320" w:right="499" w:firstLine="752"/>
        <w:spacing w:after="0" w:line="247" w:lineRule="auto"/>
        <w:tabs>
          <w:tab w:leader="none" w:pos="1244"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The Trustee shall not be bound to make any investigation into the facts or matters stated in any resolution, certificate, statement, instrument, opinion, report, notice, request, consent, order, approval, bond, security, or other papers or documents or other evidence of indebtedness, unless requested in writing so to do by the holders of not less than a majority in principal amount of the Outstanding Securities of the particular series affected thereby (determined as provided in </w:t>
      </w:r>
      <w:r>
        <w:rPr>
          <w:rFonts w:ascii="Times New Roman" w:cs="Times New Roman" w:eastAsia="Times New Roman" w:hAnsi="Times New Roman"/>
          <w:sz w:val="14"/>
          <w:szCs w:val="14"/>
          <w:u w:val="single" w:color="auto"/>
          <w:color w:val="auto"/>
        </w:rPr>
        <w:t>Section 8.04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if the payment within a reasonable time to the Trustee of the costs, expenses, claims or liabilities likely to be incurred by it in the making of such investigation is, in the opinion of the Trustee, not reasonably assured to the Trustee by the security afforded to it by the terms of this Indenture, the Trustee may require indemnity or security satisfactory to it against such costs, expenses, claims or liabilities as a condition to so proceeding. The reasonable expense of every such examination shall be paid by the Company or, if paid by the Trustee, shall be repaid by the Company upon demand;</w:t>
      </w:r>
    </w:p>
    <w:p>
      <w:pPr>
        <w:spacing w:after="0" w:line="151" w:lineRule="exact"/>
        <w:rPr>
          <w:rFonts w:ascii="Times New Roman" w:cs="Times New Roman" w:eastAsia="Times New Roman" w:hAnsi="Times New Roman"/>
          <w:sz w:val="14"/>
          <w:szCs w:val="14"/>
          <w:color w:val="auto"/>
        </w:rPr>
      </w:pPr>
    </w:p>
    <w:p>
      <w:pPr>
        <w:jc w:val="both"/>
        <w:ind w:left="320" w:right="399" w:firstLine="752"/>
        <w:spacing w:after="0" w:line="255" w:lineRule="auto"/>
        <w:tabs>
          <w:tab w:leader="none" w:pos="1267"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43" w:lineRule="exact"/>
        <w:rPr>
          <w:rFonts w:ascii="Times New Roman" w:cs="Times New Roman" w:eastAsia="Times New Roman" w:hAnsi="Times New Roman"/>
          <w:sz w:val="14"/>
          <w:szCs w:val="14"/>
          <w:color w:val="auto"/>
        </w:rPr>
      </w:pPr>
    </w:p>
    <w:p>
      <w:pPr>
        <w:ind w:left="320" w:right="379" w:firstLine="752"/>
        <w:spacing w:after="0" w:line="250" w:lineRule="auto"/>
        <w:tabs>
          <w:tab w:leader="none" w:pos="1267"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46" w:lineRule="exact"/>
        <w:rPr>
          <w:rFonts w:ascii="Times New Roman" w:cs="Times New Roman" w:eastAsia="Times New Roman" w:hAnsi="Times New Roman"/>
          <w:sz w:val="14"/>
          <w:szCs w:val="14"/>
          <w:color w:val="auto"/>
        </w:rPr>
      </w:pPr>
    </w:p>
    <w:p>
      <w:pPr>
        <w:ind w:left="320" w:right="539" w:firstLine="752"/>
        <w:spacing w:after="0" w:line="255" w:lineRule="auto"/>
        <w:tabs>
          <w:tab w:leader="none" w:pos="1236"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shall the Trustee be responsible or liable for special, punitive, indirect, or consequential loss or damage of any kind whatsoever (including, but not limited to, loss of profit) irrespective of whether the Trustee has been advised of the likelihood of such loss or damage and regardless of the form of action;</w:t>
      </w:r>
    </w:p>
    <w:p>
      <w:pPr>
        <w:spacing w:after="0" w:line="143" w:lineRule="exact"/>
        <w:rPr>
          <w:rFonts w:ascii="Times New Roman" w:cs="Times New Roman" w:eastAsia="Times New Roman" w:hAnsi="Times New Roman"/>
          <w:sz w:val="14"/>
          <w:szCs w:val="14"/>
          <w:color w:val="auto"/>
        </w:rPr>
      </w:pPr>
    </w:p>
    <w:p>
      <w:pPr>
        <w:ind w:left="1240" w:hanging="168"/>
        <w:spacing w:after="0"/>
        <w:tabs>
          <w:tab w:leader="none" w:pos="12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permissive rights of the Trustee enumerated herein shall not be construed as duties;</w:t>
      </w:r>
    </w:p>
    <w:p>
      <w:pPr>
        <w:spacing w:after="0" w:line="167" w:lineRule="exact"/>
        <w:rPr>
          <w:rFonts w:ascii="Times New Roman" w:cs="Times New Roman" w:eastAsia="Times New Roman" w:hAnsi="Times New Roman"/>
          <w:sz w:val="14"/>
          <w:szCs w:val="14"/>
          <w:color w:val="auto"/>
        </w:rPr>
      </w:pPr>
    </w:p>
    <w:p>
      <w:pPr>
        <w:ind w:left="320" w:right="339" w:firstLine="752"/>
        <w:spacing w:after="0" w:line="266" w:lineRule="auto"/>
        <w:tabs>
          <w:tab w:leader="none" w:pos="1267"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request that the Company deliver a certificate setting forth the names of individuals and/or titles of officers authorized at such time to take specified actions pursuant to this Indenture; and</w:t>
      </w:r>
    </w:p>
    <w:p>
      <w:pPr>
        <w:spacing w:after="0" w:line="135" w:lineRule="exact"/>
        <w:rPr>
          <w:rFonts w:ascii="Times New Roman" w:cs="Times New Roman" w:eastAsia="Times New Roman" w:hAnsi="Times New Roman"/>
          <w:sz w:val="14"/>
          <w:szCs w:val="14"/>
          <w:color w:val="auto"/>
        </w:rPr>
      </w:pPr>
    </w:p>
    <w:p>
      <w:pPr>
        <w:ind w:left="1240" w:hanging="168"/>
        <w:spacing w:after="0"/>
        <w:tabs>
          <w:tab w:leader="none" w:pos="12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required to give any bond or surety in respect of the performance of its powers and duties hereunder.</w:t>
      </w:r>
    </w:p>
    <w:p>
      <w:pPr>
        <w:spacing w:after="0" w:line="167" w:lineRule="exact"/>
        <w:rPr>
          <w:sz w:val="20"/>
          <w:szCs w:val="20"/>
          <w:color w:val="auto"/>
        </w:rPr>
      </w:pPr>
    </w:p>
    <w:p>
      <w:pPr>
        <w:jc w:val="both"/>
        <w:ind w:left="320" w:right="399" w:firstLine="335"/>
        <w:spacing w:after="0" w:line="255" w:lineRule="auto"/>
        <w:rPr>
          <w:sz w:val="20"/>
          <w:szCs w:val="20"/>
          <w:color w:val="auto"/>
        </w:rPr>
      </w:pPr>
      <w:r>
        <w:rPr>
          <w:rFonts w:ascii="Times New Roman" w:cs="Times New Roman" w:eastAsia="Times New Roman" w:hAnsi="Times New Roman"/>
          <w:sz w:val="14"/>
          <w:szCs w:val="14"/>
          <w:color w:val="auto"/>
        </w:rPr>
        <w:t>In addition, the Trustee shall not be deemed to have knowledge of any Default or Event of Default until a Responsible Officer of the Trustee shall have received written notification in the manner set forth in this Indenture, and such notice references the Securities and this Indenture or a Responsible Officer of the Trustee shall have obtained actual knowledge.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39" w:right="1440" w:bottom="1440" w:gutter="0" w:footer="0" w:header="0"/>
        </w:sectPr>
      </w:pPr>
    </w:p>
    <w:bookmarkStart w:id="126" w:name="page127"/>
    <w:bookmarkEnd w:id="126"/>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7.03 </w:t>
      </w:r>
      <w:r>
        <w:rPr>
          <w:rFonts w:ascii="Times New Roman" w:cs="Times New Roman" w:eastAsia="Times New Roman" w:hAnsi="Times New Roman"/>
          <w:sz w:val="14"/>
          <w:szCs w:val="14"/>
          <w:u w:val="single" w:color="auto"/>
          <w:color w:val="auto"/>
        </w:rPr>
        <w:t>Trustee Not Responsible for Recitals or Issuance or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819" w:firstLine="752"/>
        <w:spacing w:after="0" w:line="266" w:lineRule="auto"/>
        <w:tabs>
          <w:tab w:leader="none" w:pos="1259"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recitals contained herein and in the Securities shall be taken as the statements of the Company, and the Trustee assumes no responsibility for the correctness of the same.</w:t>
      </w:r>
    </w:p>
    <w:p>
      <w:pPr>
        <w:spacing w:after="0" w:line="135"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makes no representations as to the validity or sufficiency of this Indenture or of the Securities.</w:t>
      </w:r>
    </w:p>
    <w:p>
      <w:pPr>
        <w:spacing w:after="0" w:line="167" w:lineRule="exact"/>
        <w:rPr>
          <w:rFonts w:ascii="Times New Roman" w:cs="Times New Roman" w:eastAsia="Times New Roman" w:hAnsi="Times New Roman"/>
          <w:sz w:val="14"/>
          <w:szCs w:val="14"/>
          <w:color w:val="auto"/>
        </w:rPr>
      </w:pPr>
    </w:p>
    <w:p>
      <w:pPr>
        <w:ind w:left="320" w:right="659" w:firstLine="752"/>
        <w:spacing w:after="0" w:line="255" w:lineRule="auto"/>
        <w:tabs>
          <w:tab w:leader="none" w:pos="1259"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or for the use or application of any moneys received by any paying agent other than the Trustee.</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7.04 </w:t>
      </w:r>
      <w:r>
        <w:rPr>
          <w:rFonts w:ascii="Times New Roman" w:cs="Times New Roman" w:eastAsia="Times New Roman" w:hAnsi="Times New Roman"/>
          <w:sz w:val="14"/>
          <w:szCs w:val="14"/>
          <w:u w:val="single" w:color="auto"/>
          <w:color w:val="auto"/>
        </w:rPr>
        <w:t>May Hold Securities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335"/>
        <w:spacing w:after="0" w:line="266" w:lineRule="auto"/>
        <w:rPr>
          <w:sz w:val="20"/>
          <w:szCs w:val="20"/>
          <w:color w:val="auto"/>
        </w:rPr>
      </w:pPr>
      <w:r>
        <w:rPr>
          <w:rFonts w:ascii="Times New Roman" w:cs="Times New Roman" w:eastAsia="Times New Roman" w:hAnsi="Times New Roman"/>
          <w:sz w:val="14"/>
          <w:szCs w:val="14"/>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7.05 </w:t>
      </w:r>
      <w:r>
        <w:rPr>
          <w:rFonts w:ascii="Times New Roman" w:cs="Times New Roman" w:eastAsia="Times New Roman" w:hAnsi="Times New Roman"/>
          <w:sz w:val="14"/>
          <w:szCs w:val="14"/>
          <w:u w:val="single" w:color="auto"/>
          <w:color w:val="auto"/>
        </w:rPr>
        <w:t>Moneys Held in Trust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99" w:firstLine="335"/>
        <w:spacing w:after="0" w:line="255" w:lineRule="auto"/>
        <w:rPr>
          <w:sz w:val="20"/>
          <w:szCs w:val="20"/>
          <w:color w:val="auto"/>
        </w:rPr>
      </w:pPr>
      <w:r>
        <w:rPr>
          <w:rFonts w:ascii="Times New Roman" w:cs="Times New Roman" w:eastAsia="Times New Roman" w:hAnsi="Times New Roman"/>
          <w:sz w:val="14"/>
          <w:szCs w:val="14"/>
          <w:color w:val="auto"/>
        </w:rPr>
        <w:t xml:space="preserve">Subject to the provisions of </w:t>
      </w:r>
      <w:r>
        <w:rPr>
          <w:rFonts w:ascii="Times New Roman" w:cs="Times New Roman" w:eastAsia="Times New Roman" w:hAnsi="Times New Roman"/>
          <w:sz w:val="14"/>
          <w:szCs w:val="14"/>
          <w:u w:val="single" w:color="auto"/>
          <w:color w:val="auto"/>
        </w:rPr>
        <w:t>Section 11.05</w:t>
      </w:r>
      <w:r>
        <w:rPr>
          <w:rFonts w:ascii="Times New Roman" w:cs="Times New Roman" w:eastAsia="Times New Roman" w:hAnsi="Times New Roman"/>
          <w:sz w:val="14"/>
          <w:szCs w:val="14"/>
          <w:color w:val="auto"/>
        </w:rPr>
        <w:t>,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in writing with the Company to pay thereon.</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7.06 </w:t>
      </w:r>
      <w:r>
        <w:rPr>
          <w:rFonts w:ascii="Times New Roman" w:cs="Times New Roman" w:eastAsia="Times New Roman" w:hAnsi="Times New Roman"/>
          <w:sz w:val="14"/>
          <w:szCs w:val="14"/>
          <w:u w:val="single" w:color="auto"/>
          <w:color w:val="auto"/>
        </w:rPr>
        <w:t>Compensation and Reimbursement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752"/>
        <w:spacing w:after="0" w:line="267" w:lineRule="auto"/>
        <w:tabs>
          <w:tab w:leader="none" w:pos="1259"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covenants and agrees to pay to the Trustee, and the Trustee shall be entitled to, such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and documented expenses, disbursements and advances incurred or made by the Trustee in accordance with any of the provisions of this Indenture (including the reasonable and documented fees and the expenses and disbursements of its counsel and of all Persons not regularly in its employ), except any such expense, disbursement or advance as may arise from its negligence or willful misconduct. The Company also covenants to indemnify the Trustee (and its officers, agents, directors and employees) for, and to hold it harmless against, any documented loss, liability or expense, including reasonable and documented attorneys’ fees, incurred without negligence or willful misconduct on the part of the Trustee and arising out of or in connection with the acceptance or administration of this trust, including the reasonable and documented costs and expenses of defending itself against any claim of liability in the premises (whether asserted by the Company, or any holder or any other Person) or liability in connection with the exercise or performance of any of its powers or duties hereunder, or in connection with enforcing the provisions of this Section.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40" w:right="1440" w:bottom="1440" w:gutter="0" w:footer="0" w:header="0"/>
        </w:sectPr>
      </w:pPr>
    </w:p>
    <w:bookmarkStart w:id="127" w:name="page128"/>
    <w:bookmarkEnd w:id="127"/>
    <w:p>
      <w:pPr>
        <w:ind w:left="320" w:right="519" w:firstLine="752"/>
        <w:spacing w:after="0" w:line="252" w:lineRule="auto"/>
        <w:tabs>
          <w:tab w:leader="none" w:pos="1267"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obligations of the Company under this Section to compensate and indemnify the Trustee and to pay or reimburse the Trustee for reasonable expenses, disbursements and advances shall constitute indebtedness of the Company to which the Securities are subordinated.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44" w:lineRule="exact"/>
        <w:rPr>
          <w:rFonts w:ascii="Times New Roman" w:cs="Times New Roman" w:eastAsia="Times New Roman" w:hAnsi="Times New Roman"/>
          <w:sz w:val="14"/>
          <w:szCs w:val="14"/>
          <w:color w:val="auto"/>
        </w:rPr>
      </w:pPr>
    </w:p>
    <w:p>
      <w:pPr>
        <w:ind w:left="320" w:right="459" w:firstLine="752"/>
        <w:spacing w:after="0" w:line="249" w:lineRule="auto"/>
        <w:tabs>
          <w:tab w:leader="none" w:pos="1259"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ensure the Company’s payment obligations in this Section, the Trustee shall have a lien prior to the Securities on all funds or property held or collected by the Trustee, except that held in trust to pay principal of, premium, if any, or interest on particular Securities. When the Trustee incurs expenses or renders services in connection with an Event of Default specified in </w:t>
      </w:r>
      <w:r>
        <w:rPr>
          <w:rFonts w:ascii="Times New Roman" w:cs="Times New Roman" w:eastAsia="Times New Roman" w:hAnsi="Times New Roman"/>
          <w:sz w:val="14"/>
          <w:szCs w:val="14"/>
          <w:u w:val="single" w:color="auto"/>
          <w:color w:val="auto"/>
        </w:rPr>
        <w:t>Section 6.01(a)(4)</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(5)</w:t>
      </w:r>
      <w:r>
        <w:rPr>
          <w:rFonts w:ascii="Times New Roman" w:cs="Times New Roman" w:eastAsia="Times New Roman" w:hAnsi="Times New Roman"/>
          <w:sz w:val="14"/>
          <w:szCs w:val="14"/>
          <w:color w:val="auto"/>
        </w:rPr>
        <w:t xml:space="preserve">, the expenses (including the reasonable fees and expenses of its counsel) and the compensation for services in connection therewith are to constitute expenses of administration under any Bankruptcy Law. The provisions of this </w:t>
      </w:r>
      <w:r>
        <w:rPr>
          <w:rFonts w:ascii="Times New Roman" w:cs="Times New Roman" w:eastAsia="Times New Roman" w:hAnsi="Times New Roman"/>
          <w:sz w:val="14"/>
          <w:szCs w:val="14"/>
          <w:u w:val="single" w:color="auto"/>
          <w:color w:val="auto"/>
        </w:rPr>
        <w:t>Section 7.06</w:t>
      </w:r>
      <w:r>
        <w:rPr>
          <w:rFonts w:ascii="Times New Roman" w:cs="Times New Roman" w:eastAsia="Times New Roman" w:hAnsi="Times New Roman"/>
          <w:sz w:val="14"/>
          <w:szCs w:val="14"/>
          <w:color w:val="auto"/>
        </w:rPr>
        <w:t xml:space="preserve"> shall survive the termination of this Indenture and the earlier resignation or removal of the Trustee.</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7.07 </w:t>
      </w:r>
      <w:r>
        <w:rPr>
          <w:rFonts w:ascii="Times New Roman" w:cs="Times New Roman" w:eastAsia="Times New Roman" w:hAnsi="Times New Roman"/>
          <w:sz w:val="14"/>
          <w:szCs w:val="14"/>
          <w:u w:val="single" w:color="auto"/>
          <w:color w:val="auto"/>
        </w:rPr>
        <w:t>Reliance on Officer’s Certificate or Opinion of Counsel</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335"/>
        <w:spacing w:after="0" w:line="249" w:lineRule="auto"/>
        <w:rPr>
          <w:sz w:val="20"/>
          <w:szCs w:val="20"/>
          <w:color w:val="auto"/>
        </w:rPr>
      </w:pPr>
      <w:r>
        <w:rPr>
          <w:rFonts w:ascii="Times New Roman" w:cs="Times New Roman" w:eastAsia="Times New Roman" w:hAnsi="Times New Roman"/>
          <w:sz w:val="14"/>
          <w:szCs w:val="14"/>
          <w:color w:val="auto"/>
        </w:rPr>
        <w:t xml:space="preserve">Except as otherwise provided in </w:t>
      </w:r>
      <w:r>
        <w:rPr>
          <w:rFonts w:ascii="Times New Roman" w:cs="Times New Roman" w:eastAsia="Times New Roman" w:hAnsi="Times New Roman"/>
          <w:sz w:val="14"/>
          <w:szCs w:val="14"/>
          <w:u w:val="single" w:color="auto"/>
          <w:color w:val="auto"/>
        </w:rPr>
        <w:t>Section 7.01</w:t>
      </w:r>
      <w:r>
        <w:rPr>
          <w:rFonts w:ascii="Times New Roman" w:cs="Times New Roman" w:eastAsia="Times New Roman" w:hAnsi="Times New Roman"/>
          <w:sz w:val="14"/>
          <w:szCs w:val="14"/>
          <w:color w:val="auto"/>
        </w:rPr>
        <w:t>,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willful misconduct on the part of the Trustee, be deemed to be conclusively proved and established by an Officer’s Certificate and Opinion of Counsel delivered to the Trustee and such certificate and opinion, in the absence of negligence or willful misconduct on the part of the Trustee, shall be full warrant to the Trustee for any action taken, suffered or omitted to be taken by it under the provisions of this Indenture upon the faith thereof.</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7.08 </w:t>
      </w:r>
      <w:r>
        <w:rPr>
          <w:rFonts w:ascii="Times New Roman" w:cs="Times New Roman" w:eastAsia="Times New Roman" w:hAnsi="Times New Roman"/>
          <w:sz w:val="14"/>
          <w:szCs w:val="14"/>
          <w:u w:val="single" w:color="auto"/>
          <w:color w:val="auto"/>
        </w:rPr>
        <w:t>Disqualification; Conflicting Interests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79" w:firstLine="335"/>
        <w:spacing w:after="0" w:line="266" w:lineRule="auto"/>
        <w:rPr>
          <w:sz w:val="20"/>
          <w:szCs w:val="20"/>
          <w:color w:val="auto"/>
        </w:rPr>
      </w:pPr>
      <w:r>
        <w:rPr>
          <w:rFonts w:ascii="Times New Roman" w:cs="Times New Roman" w:eastAsia="Times New Roman" w:hAnsi="Times New Roman"/>
          <w:sz w:val="14"/>
          <w:szCs w:val="14"/>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7.09 </w:t>
      </w:r>
      <w:r>
        <w:rPr>
          <w:rFonts w:ascii="Times New Roman" w:cs="Times New Roman" w:eastAsia="Times New Roman" w:hAnsi="Times New Roman"/>
          <w:sz w:val="14"/>
          <w:szCs w:val="14"/>
          <w:u w:val="single" w:color="auto"/>
          <w:color w:val="auto"/>
        </w:rPr>
        <w:t>Corporate Trustee Required; Eligibility</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left="320" w:right="379" w:firstLine="335"/>
        <w:spacing w:after="0" w:line="277" w:lineRule="auto"/>
        <w:rPr>
          <w:sz w:val="20"/>
          <w:szCs w:val="20"/>
          <w:color w:val="auto"/>
        </w:rPr>
      </w:pPr>
      <w:r>
        <w:rPr>
          <w:rFonts w:ascii="Times New Roman" w:cs="Times New Roman" w:eastAsia="Times New Roman" w:hAnsi="Times New Roman"/>
          <w:sz w:val="13"/>
          <w:szCs w:val="13"/>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39" w:right="1440" w:bottom="1440" w:gutter="0" w:footer="0" w:header="0"/>
        </w:sectPr>
      </w:pPr>
    </w:p>
    <w:bookmarkStart w:id="128" w:name="page129"/>
    <w:bookmarkEnd w:id="128"/>
    <w:p>
      <w:pPr>
        <w:ind w:left="320" w:right="459" w:firstLine="335"/>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w:t>
      </w:r>
      <w:r>
        <w:rPr>
          <w:rFonts w:ascii="Times New Roman" w:cs="Times New Roman" w:eastAsia="Times New Roman" w:hAnsi="Times New Roman"/>
          <w:sz w:val="14"/>
          <w:szCs w:val="14"/>
          <w:u w:val="single" w:color="auto"/>
          <w:color w:val="auto"/>
        </w:rPr>
        <w:t>Section 7.10</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7.10 </w:t>
      </w:r>
      <w:r>
        <w:rPr>
          <w:rFonts w:ascii="Times New Roman" w:cs="Times New Roman" w:eastAsia="Times New Roman" w:hAnsi="Times New Roman"/>
          <w:sz w:val="14"/>
          <w:szCs w:val="14"/>
          <w:u w:val="single" w:color="auto"/>
          <w:color w:val="auto"/>
        </w:rPr>
        <w:t>Resignation and Removal; Appointment of Successor</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752"/>
        <w:spacing w:after="0" w:line="247" w:lineRule="auto"/>
        <w:tabs>
          <w:tab w:leader="none" w:pos="1259"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or any successor hereafter appointed may at any time resign with respect to the Securities of one or more series by giving written notice thereof to the Company and by transmitting notice of resignation by electronic mail, or by first class postage prepaid mail,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48"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at any time any one of the following shall occur:</w:t>
      </w:r>
    </w:p>
    <w:p>
      <w:pPr>
        <w:spacing w:after="0" w:line="85" w:lineRule="exact"/>
        <w:rPr>
          <w:rFonts w:ascii="Times New Roman" w:cs="Times New Roman" w:eastAsia="Times New Roman" w:hAnsi="Times New Roman"/>
          <w:sz w:val="14"/>
          <w:szCs w:val="14"/>
          <w:color w:val="auto"/>
        </w:rPr>
      </w:pPr>
    </w:p>
    <w:p>
      <w:pPr>
        <w:ind w:left="660" w:right="739" w:firstLine="717"/>
        <w:spacing w:after="0" w:line="266" w:lineRule="auto"/>
        <w:tabs>
          <w:tab w:leader="none" w:pos="1546" w:val="left"/>
        </w:tabs>
        <w:numPr>
          <w:ilvl w:val="1"/>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Trustee shall fail to comply with the provisions of </w:t>
      </w:r>
      <w:r>
        <w:rPr>
          <w:rFonts w:ascii="Times New Roman" w:cs="Times New Roman" w:eastAsia="Times New Roman" w:hAnsi="Times New Roman"/>
          <w:sz w:val="14"/>
          <w:szCs w:val="14"/>
          <w:u w:val="single" w:color="auto"/>
          <w:color w:val="auto"/>
        </w:rPr>
        <w:t>Section 7.08</w:t>
      </w:r>
      <w:r>
        <w:rPr>
          <w:rFonts w:ascii="Times New Roman" w:cs="Times New Roman" w:eastAsia="Times New Roman" w:hAnsi="Times New Roman"/>
          <w:sz w:val="14"/>
          <w:szCs w:val="14"/>
          <w:color w:val="auto"/>
        </w:rPr>
        <w:t xml:space="preserve"> after written request therefor by the Company or by any Securityholder who has been a bona fide holder of a Security or Securities for at least six months; or</w:t>
      </w:r>
    </w:p>
    <w:p>
      <w:pPr>
        <w:spacing w:after="0" w:line="53" w:lineRule="exact"/>
        <w:rPr>
          <w:rFonts w:ascii="Times New Roman" w:cs="Times New Roman" w:eastAsia="Times New Roman" w:hAnsi="Times New Roman"/>
          <w:sz w:val="14"/>
          <w:szCs w:val="14"/>
          <w:color w:val="auto"/>
        </w:rPr>
      </w:pPr>
    </w:p>
    <w:p>
      <w:pPr>
        <w:ind w:left="660" w:right="339" w:firstLine="717"/>
        <w:spacing w:after="0" w:line="266" w:lineRule="auto"/>
        <w:tabs>
          <w:tab w:leader="none" w:pos="1584" w:val="left"/>
        </w:tabs>
        <w:numPr>
          <w:ilvl w:val="1"/>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Trustee shall cease to be eligible in accordance with the provisions of </w:t>
      </w:r>
      <w:r>
        <w:rPr>
          <w:rFonts w:ascii="Times New Roman" w:cs="Times New Roman" w:eastAsia="Times New Roman" w:hAnsi="Times New Roman"/>
          <w:sz w:val="14"/>
          <w:szCs w:val="14"/>
          <w:u w:val="single" w:color="auto"/>
          <w:color w:val="auto"/>
        </w:rPr>
        <w:t>Section 7.09</w:t>
      </w:r>
      <w:r>
        <w:rPr>
          <w:rFonts w:ascii="Times New Roman" w:cs="Times New Roman" w:eastAsia="Times New Roman" w:hAnsi="Times New Roman"/>
          <w:sz w:val="14"/>
          <w:szCs w:val="14"/>
          <w:color w:val="auto"/>
        </w:rPr>
        <w:t xml:space="preserve"> and shall fail to resign after written request therefor by the Company or by any such Securityholder; or</w:t>
      </w:r>
    </w:p>
    <w:p>
      <w:pPr>
        <w:spacing w:after="0" w:line="53" w:lineRule="exact"/>
        <w:rPr>
          <w:rFonts w:ascii="Times New Roman" w:cs="Times New Roman" w:eastAsia="Times New Roman" w:hAnsi="Times New Roman"/>
          <w:sz w:val="14"/>
          <w:szCs w:val="14"/>
          <w:color w:val="auto"/>
        </w:rPr>
      </w:pPr>
    </w:p>
    <w:p>
      <w:pPr>
        <w:ind w:left="660" w:right="379" w:firstLine="717"/>
        <w:spacing w:after="0" w:line="255" w:lineRule="auto"/>
        <w:tabs>
          <w:tab w:leader="none" w:pos="1622" w:val="left"/>
        </w:tabs>
        <w:numPr>
          <w:ilvl w:val="1"/>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40" w:right="1440" w:bottom="1440" w:gutter="0" w:footer="0" w:header="0"/>
        </w:sectPr>
      </w:pPr>
    </w:p>
    <w:bookmarkStart w:id="129" w:name="page130"/>
    <w:bookmarkEnd w:id="129"/>
    <w:p>
      <w:pPr>
        <w:ind w:left="320" w:right="419"/>
        <w:spacing w:after="0" w:line="27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31" w:lineRule="exact"/>
        <w:rPr>
          <w:sz w:val="20"/>
          <w:szCs w:val="20"/>
          <w:color w:val="auto"/>
        </w:rPr>
      </w:pPr>
    </w:p>
    <w:p>
      <w:pPr>
        <w:ind w:left="320" w:right="339" w:firstLine="752"/>
        <w:spacing w:after="0" w:line="255" w:lineRule="auto"/>
        <w:tabs>
          <w:tab w:leader="none" w:pos="1259"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43" w:lineRule="exact"/>
        <w:rPr>
          <w:rFonts w:ascii="Times New Roman" w:cs="Times New Roman" w:eastAsia="Times New Roman" w:hAnsi="Times New Roman"/>
          <w:sz w:val="14"/>
          <w:szCs w:val="14"/>
          <w:color w:val="auto"/>
        </w:rPr>
      </w:pPr>
    </w:p>
    <w:p>
      <w:pPr>
        <w:ind w:left="320" w:right="459" w:firstLine="752"/>
        <w:spacing w:after="0" w:line="305" w:lineRule="auto"/>
        <w:tabs>
          <w:tab w:leader="none" w:pos="1267"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12" w:lineRule="exact"/>
        <w:rPr>
          <w:rFonts w:ascii="Times New Roman" w:cs="Times New Roman" w:eastAsia="Times New Roman" w:hAnsi="Times New Roman"/>
          <w:sz w:val="13"/>
          <w:szCs w:val="13"/>
          <w:color w:val="auto"/>
        </w:rPr>
      </w:pPr>
    </w:p>
    <w:p>
      <w:pPr>
        <w:ind w:left="320" w:right="399" w:firstLine="752"/>
        <w:spacing w:after="0" w:line="266" w:lineRule="auto"/>
        <w:tabs>
          <w:tab w:leader="none" w:pos="1259"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7.11 </w:t>
      </w:r>
      <w:r>
        <w:rPr>
          <w:rFonts w:ascii="Times New Roman" w:cs="Times New Roman" w:eastAsia="Times New Roman" w:hAnsi="Times New Roman"/>
          <w:sz w:val="14"/>
          <w:szCs w:val="14"/>
          <w:u w:val="single" w:color="auto"/>
          <w:color w:val="auto"/>
        </w:rPr>
        <w:t>Acceptance of Appointment By Successor</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19" w:firstLine="752"/>
        <w:spacing w:after="0" w:line="248" w:lineRule="auto"/>
        <w:tabs>
          <w:tab w:leader="none" w:pos="1259"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full payment of any amount then due it pursuant to </w:t>
      </w:r>
      <w:r>
        <w:rPr>
          <w:rFonts w:ascii="Times New Roman" w:cs="Times New Roman" w:eastAsia="Times New Roman" w:hAnsi="Times New Roman"/>
          <w:sz w:val="14"/>
          <w:szCs w:val="14"/>
          <w:u w:val="single" w:color="auto"/>
          <w:color w:val="auto"/>
        </w:rPr>
        <w:t>Section 7.06</w:t>
      </w:r>
      <w:r>
        <w:rPr>
          <w:rFonts w:ascii="Times New Roman" w:cs="Times New Roman" w:eastAsia="Times New Roman" w:hAnsi="Times New Roman"/>
          <w:sz w:val="14"/>
          <w:szCs w:val="14"/>
          <w:color w:val="auto"/>
        </w:rPr>
        <w:t>,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48" w:lineRule="exact"/>
        <w:rPr>
          <w:rFonts w:ascii="Times New Roman" w:cs="Times New Roman" w:eastAsia="Times New Roman" w:hAnsi="Times New Roman"/>
          <w:sz w:val="14"/>
          <w:szCs w:val="14"/>
          <w:color w:val="auto"/>
        </w:rPr>
      </w:pPr>
    </w:p>
    <w:p>
      <w:pPr>
        <w:ind w:left="320" w:right="459" w:firstLine="752"/>
        <w:spacing w:after="0" w:line="268" w:lineRule="auto"/>
        <w:tabs>
          <w:tab w:leader="none" w:pos="1267"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39" w:right="1440" w:bottom="1440" w:gutter="0" w:footer="0" w:header="0"/>
        </w:sectPr>
      </w:pPr>
    </w:p>
    <w:bookmarkStart w:id="130" w:name="page131"/>
    <w:bookmarkEnd w:id="130"/>
    <w:p>
      <w:pPr>
        <w:ind w:left="320" w:right="339"/>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49" w:lineRule="exact"/>
        <w:rPr>
          <w:sz w:val="20"/>
          <w:szCs w:val="20"/>
          <w:color w:val="auto"/>
        </w:rPr>
      </w:pPr>
    </w:p>
    <w:p>
      <w:pPr>
        <w:ind w:left="320" w:right="439" w:firstLine="752"/>
        <w:spacing w:after="0" w:line="305" w:lineRule="auto"/>
        <w:tabs>
          <w:tab w:leader="none" w:pos="1259"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12" w:lineRule="exact"/>
        <w:rPr>
          <w:rFonts w:ascii="Times New Roman" w:cs="Times New Roman" w:eastAsia="Times New Roman" w:hAnsi="Times New Roman"/>
          <w:sz w:val="13"/>
          <w:szCs w:val="13"/>
          <w:color w:val="auto"/>
        </w:rPr>
      </w:pPr>
    </w:p>
    <w:p>
      <w:pPr>
        <w:ind w:left="320" w:right="579" w:firstLine="752"/>
        <w:spacing w:after="0" w:line="266" w:lineRule="auto"/>
        <w:tabs>
          <w:tab w:leader="none" w:pos="1267"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successor trustee shall accept its appointment unless at the time of such acceptance such successor trustee shall be qualified and eligible under this Article.</w:t>
      </w:r>
    </w:p>
    <w:p>
      <w:pPr>
        <w:spacing w:after="0" w:line="135" w:lineRule="exact"/>
        <w:rPr>
          <w:rFonts w:ascii="Times New Roman" w:cs="Times New Roman" w:eastAsia="Times New Roman" w:hAnsi="Times New Roman"/>
          <w:sz w:val="14"/>
          <w:szCs w:val="14"/>
          <w:color w:val="auto"/>
        </w:rPr>
      </w:pPr>
    </w:p>
    <w:p>
      <w:pPr>
        <w:ind w:left="320" w:right="339" w:firstLine="752"/>
        <w:spacing w:after="0" w:line="252" w:lineRule="auto"/>
        <w:tabs>
          <w:tab w:leader="none" w:pos="1259"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7.12 </w:t>
      </w:r>
      <w:r>
        <w:rPr>
          <w:rFonts w:ascii="Times New Roman" w:cs="Times New Roman" w:eastAsia="Times New Roman" w:hAnsi="Times New Roman"/>
          <w:sz w:val="14"/>
          <w:szCs w:val="14"/>
          <w:u w:val="single" w:color="auto"/>
          <w:color w:val="auto"/>
        </w:rPr>
        <w:t>Merger, Conversion, Consolidation or Succession to Business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270" w:lineRule="auto"/>
        <w:rPr>
          <w:sz w:val="20"/>
          <w:szCs w:val="20"/>
          <w:color w:val="auto"/>
        </w:rPr>
      </w:pPr>
      <w:r>
        <w:rPr>
          <w:rFonts w:ascii="Times New Roman" w:cs="Times New Roman" w:eastAsia="Times New Roman" w:hAnsi="Times New Roman"/>
          <w:sz w:val="13"/>
          <w:szCs w:val="13"/>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such corporation shall be qualified under the provisions of </w:t>
      </w:r>
      <w:r>
        <w:rPr>
          <w:rFonts w:ascii="Times New Roman" w:cs="Times New Roman" w:eastAsia="Times New Roman" w:hAnsi="Times New Roman"/>
          <w:sz w:val="13"/>
          <w:szCs w:val="13"/>
          <w:u w:val="single" w:color="auto"/>
          <w:color w:val="auto"/>
        </w:rPr>
        <w:t>Section 7.08</w:t>
      </w:r>
      <w:r>
        <w:rPr>
          <w:rFonts w:ascii="Times New Roman" w:cs="Times New Roman" w:eastAsia="Times New Roman" w:hAnsi="Times New Roman"/>
          <w:sz w:val="13"/>
          <w:szCs w:val="13"/>
          <w:color w:val="auto"/>
        </w:rPr>
        <w:t xml:space="preserve"> and eligible under the provisions of </w:t>
      </w:r>
      <w:r>
        <w:rPr>
          <w:rFonts w:ascii="Times New Roman" w:cs="Times New Roman" w:eastAsia="Times New Roman" w:hAnsi="Times New Roman"/>
          <w:sz w:val="13"/>
          <w:szCs w:val="13"/>
          <w:u w:val="single" w:color="auto"/>
          <w:color w:val="auto"/>
        </w:rPr>
        <w:t>Section 7.09</w:t>
      </w:r>
      <w:r>
        <w:rPr>
          <w:rFonts w:ascii="Times New Roman" w:cs="Times New Roman" w:eastAsia="Times New Roman" w:hAnsi="Times New Roman"/>
          <w:sz w:val="13"/>
          <w:szCs w:val="13"/>
          <w:color w:val="auto"/>
        </w:rPr>
        <w:t>,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40" w:right="1440" w:bottom="1440" w:gutter="0" w:footer="0" w:header="0"/>
        </w:sectPr>
      </w:pPr>
    </w:p>
    <w:bookmarkStart w:id="131" w:name="page132"/>
    <w:bookmarkEnd w:id="131"/>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7.13 </w:t>
      </w:r>
      <w:r>
        <w:rPr>
          <w:rFonts w:ascii="Times New Roman" w:cs="Times New Roman" w:eastAsia="Times New Roman" w:hAnsi="Times New Roman"/>
          <w:sz w:val="14"/>
          <w:szCs w:val="14"/>
          <w:u w:val="single" w:color="auto"/>
          <w:color w:val="auto"/>
        </w:rPr>
        <w:t>Preferential Collection of Claims Against the Company</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left="320" w:right="519" w:firstLine="335"/>
        <w:spacing w:after="0" w:line="255" w:lineRule="auto"/>
        <w:rPr>
          <w:sz w:val="20"/>
          <w:szCs w:val="20"/>
          <w:color w:val="auto"/>
        </w:rPr>
      </w:pPr>
      <w:r>
        <w:rPr>
          <w:rFonts w:ascii="Times New Roman" w:cs="Times New Roman" w:eastAsia="Times New Roman" w:hAnsi="Times New Roman"/>
          <w:sz w:val="14"/>
          <w:szCs w:val="14"/>
          <w:color w:val="auto"/>
        </w:rPr>
        <w:t>The Trustee shall comply with Section 311 (a)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7.14 </w:t>
      </w:r>
      <w:r>
        <w:rPr>
          <w:rFonts w:ascii="Times New Roman" w:cs="Times New Roman" w:eastAsia="Times New Roman" w:hAnsi="Times New Roman"/>
          <w:sz w:val="14"/>
          <w:szCs w:val="14"/>
          <w:u w:val="single" w:color="auto"/>
          <w:color w:val="auto"/>
        </w:rPr>
        <w:t>Notice of Default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79" w:firstLine="335"/>
        <w:spacing w:after="0" w:line="249" w:lineRule="auto"/>
        <w:rPr>
          <w:sz w:val="20"/>
          <w:szCs w:val="20"/>
          <w:color w:val="auto"/>
        </w:rPr>
      </w:pPr>
      <w:r>
        <w:rPr>
          <w:rFonts w:ascii="Times New Roman" w:cs="Times New Roman" w:eastAsia="Times New Roman" w:hAnsi="Times New Roman"/>
          <w:sz w:val="14"/>
          <w:szCs w:val="14"/>
          <w:color w:val="auto"/>
        </w:rPr>
        <w:t xml:space="preserve">If any Event of Default occurs and is continuing and if such Event of Default is actually known to a Responsible Officer of the Trustee, the Trustee shall send to each Securityholder in the manner and to the extent provided in Section 313(c) of the Trust Indenture Act notice of the Event of Default within the later of 90 days after it occurs and 30 days after it is actually known to a Responsible Officer of the Trustee or written notice of it is received by the Trustee, unless such Event of Default has been cured;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except in the case of a default in the payment of the principal of (or premium, if any) or interest on any Security, the Trustee shall be protected in withholding such notice if and so long as it in good faith determines that the withholding of such notice is in the interest of the Securityholders.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8</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CONCERNING THE SECURITYHOLDERS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8.01 </w:t>
      </w:r>
      <w:r>
        <w:rPr>
          <w:rFonts w:ascii="Times New Roman" w:cs="Times New Roman" w:eastAsia="Times New Roman" w:hAnsi="Times New Roman"/>
          <w:sz w:val="14"/>
          <w:szCs w:val="14"/>
          <w:u w:val="single" w:color="auto"/>
          <w:color w:val="auto"/>
        </w:rPr>
        <w:t>Evidence of Action by Securityholders</w:t>
      </w:r>
      <w:r>
        <w:rPr>
          <w:rFonts w:ascii="Times New Roman" w:cs="Times New Roman" w:eastAsia="Times New Roman" w:hAnsi="Times New Roman"/>
          <w:sz w:val="14"/>
          <w:szCs w:val="14"/>
          <w:color w:val="auto"/>
        </w:rPr>
        <w:t>.</w:t>
      </w:r>
    </w:p>
    <w:p>
      <w:pPr>
        <w:spacing w:after="0" w:line="163" w:lineRule="exact"/>
        <w:rPr>
          <w:sz w:val="20"/>
          <w:szCs w:val="20"/>
          <w:color w:val="auto"/>
        </w:rPr>
      </w:pPr>
    </w:p>
    <w:p>
      <w:pPr>
        <w:ind w:left="320" w:right="359" w:firstLine="335"/>
        <w:spacing w:after="0" w:line="251" w:lineRule="auto"/>
        <w:rPr>
          <w:sz w:val="20"/>
          <w:szCs w:val="20"/>
          <w:color w:val="auto"/>
        </w:rPr>
      </w:pPr>
      <w:r>
        <w:rPr>
          <w:rFonts w:ascii="Times New Roman" w:cs="Times New Roman" w:eastAsia="Times New Roman" w:hAnsi="Times New Roman"/>
          <w:sz w:val="14"/>
          <w:szCs w:val="14"/>
          <w:color w:val="auto"/>
        </w:rPr>
        <w:t xml:space="preserve">Whenever in this Indenture it is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47" w:lineRule="exact"/>
        <w:rPr>
          <w:sz w:val="20"/>
          <w:szCs w:val="20"/>
          <w:color w:val="auto"/>
        </w:rPr>
      </w:pPr>
    </w:p>
    <w:p>
      <w:pPr>
        <w:ind w:left="320" w:right="399" w:firstLine="335"/>
        <w:spacing w:after="0" w:line="247" w:lineRule="auto"/>
        <w:rPr>
          <w:sz w:val="20"/>
          <w:szCs w:val="20"/>
          <w:color w:val="auto"/>
        </w:rPr>
      </w:pPr>
      <w:r>
        <w:rPr>
          <w:rFonts w:ascii="Times New Roman" w:cs="Times New Roman" w:eastAsia="Times New Roman" w:hAnsi="Times New Roman"/>
          <w:sz w:val="14"/>
          <w:szCs w:val="14"/>
          <w:color w:val="auto"/>
        </w:rPr>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40" w:right="1440" w:bottom="1440" w:gutter="0" w:footer="0" w:header="0"/>
        </w:sectPr>
      </w:pPr>
    </w:p>
    <w:bookmarkStart w:id="132" w:name="page133"/>
    <w:bookmarkEnd w:id="132"/>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8.02 </w:t>
      </w:r>
      <w:r>
        <w:rPr>
          <w:rFonts w:ascii="Times New Roman" w:cs="Times New Roman" w:eastAsia="Times New Roman" w:hAnsi="Times New Roman"/>
          <w:sz w:val="14"/>
          <w:szCs w:val="14"/>
          <w:u w:val="single" w:color="auto"/>
          <w:color w:val="auto"/>
        </w:rPr>
        <w:t>Proof of Execution by Securityholders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305" w:lineRule="auto"/>
        <w:rPr>
          <w:sz w:val="20"/>
          <w:szCs w:val="20"/>
          <w:color w:val="auto"/>
        </w:rPr>
      </w:pPr>
      <w:r>
        <w:rPr>
          <w:rFonts w:ascii="Times New Roman" w:cs="Times New Roman" w:eastAsia="Times New Roman" w:hAnsi="Times New Roman"/>
          <w:sz w:val="13"/>
          <w:szCs w:val="13"/>
          <w:color w:val="auto"/>
        </w:rPr>
        <w:t xml:space="preserve">Subject to the provisions of </w:t>
      </w:r>
      <w:r>
        <w:rPr>
          <w:rFonts w:ascii="Times New Roman" w:cs="Times New Roman" w:eastAsia="Times New Roman" w:hAnsi="Times New Roman"/>
          <w:sz w:val="13"/>
          <w:szCs w:val="13"/>
          <w:u w:val="single" w:color="auto"/>
          <w:color w:val="auto"/>
        </w:rPr>
        <w:t>Section 7.01</w:t>
      </w:r>
      <w:r>
        <w:rPr>
          <w:rFonts w:ascii="Times New Roman" w:cs="Times New Roman" w:eastAsia="Times New Roman" w:hAnsi="Times New Roman"/>
          <w:sz w:val="13"/>
          <w:szCs w:val="13"/>
          <w:color w:val="auto"/>
        </w:rPr>
        <w:t>, proof of the execution of any instrument by a Securityholder (such proof will not require notarization) or his agent or proxy and proof of the holding by any Person of any of the Securities shall be sufficient if made in the following manner:</w:t>
      </w:r>
    </w:p>
    <w:p>
      <w:pPr>
        <w:spacing w:after="0" w:line="3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(a) The fact and date of the execution by any such Person of any instrument may be proved in any reasonable manner acceptable to the</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Trustee.</w:t>
      </w:r>
    </w:p>
    <w:p>
      <w:pPr>
        <w:spacing w:after="0" w:line="156" w:lineRule="exact"/>
        <w:rPr>
          <w:sz w:val="20"/>
          <w:szCs w:val="20"/>
          <w:color w:val="auto"/>
        </w:rPr>
      </w:pPr>
    </w:p>
    <w:p>
      <w:pPr>
        <w:ind w:left="320" w:right="619" w:firstLine="752"/>
        <w:spacing w:after="0" w:line="266" w:lineRule="auto"/>
        <w:tabs>
          <w:tab w:leader="none" w:pos="1267"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8.03 </w:t>
      </w:r>
      <w:r>
        <w:rPr>
          <w:rFonts w:ascii="Times New Roman" w:cs="Times New Roman" w:eastAsia="Times New Roman" w:hAnsi="Times New Roman"/>
          <w:sz w:val="14"/>
          <w:szCs w:val="14"/>
          <w:u w:val="single" w:color="auto"/>
          <w:color w:val="auto"/>
        </w:rPr>
        <w:t>Who May be Deemed Owners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19" w:firstLine="335"/>
        <w:spacing w:after="0" w:line="249" w:lineRule="auto"/>
        <w:rPr>
          <w:sz w:val="20"/>
          <w:szCs w:val="20"/>
          <w:color w:val="auto"/>
        </w:rPr>
      </w:pPr>
      <w:r>
        <w:rPr>
          <w:rFonts w:ascii="Times New Roman" w:cs="Times New Roman" w:eastAsia="Times New Roman" w:hAnsi="Times New Roman"/>
          <w:sz w:val="14"/>
          <w:szCs w:val="14"/>
          <w:color w:val="auto"/>
        </w:rPr>
        <w:t xml:space="preserve">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w:t>
      </w:r>
      <w:r>
        <w:rPr>
          <w:rFonts w:ascii="Times New Roman" w:cs="Times New Roman" w:eastAsia="Times New Roman" w:hAnsi="Times New Roman"/>
          <w:sz w:val="14"/>
          <w:szCs w:val="14"/>
          <w:u w:val="single" w:color="auto"/>
          <w:color w:val="auto"/>
        </w:rPr>
        <w:t>Section 2.03</w:t>
      </w:r>
      <w:r>
        <w:rPr>
          <w:rFonts w:ascii="Times New Roman" w:cs="Times New Roman" w:eastAsia="Times New Roman" w:hAnsi="Times New Roman"/>
          <w:sz w:val="14"/>
          <w:szCs w:val="14"/>
          <w:color w:val="auto"/>
        </w:rPr>
        <w:t>) interest on such Security and for all other purposes; and neither the Company nor the Trustee nor any paying agent nor any Security Registrar shall be affected by any notice to the contrary.</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8.04 </w:t>
      </w:r>
      <w:r>
        <w:rPr>
          <w:rFonts w:ascii="Times New Roman" w:cs="Times New Roman" w:eastAsia="Times New Roman" w:hAnsi="Times New Roman"/>
          <w:sz w:val="14"/>
          <w:szCs w:val="14"/>
          <w:u w:val="single" w:color="auto"/>
          <w:color w:val="auto"/>
        </w:rPr>
        <w:t>Certain Securities Owned by Company Disregarded</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99" w:firstLine="335"/>
        <w:spacing w:after="0" w:line="247" w:lineRule="auto"/>
        <w:rPr>
          <w:sz w:val="20"/>
          <w:szCs w:val="20"/>
          <w:color w:val="auto"/>
        </w:rPr>
      </w:pPr>
      <w:r>
        <w:rPr>
          <w:rFonts w:ascii="Times New Roman" w:cs="Times New Roman" w:eastAsia="Times New Roman" w:hAnsi="Times New Roman"/>
          <w:sz w:val="14"/>
          <w:szCs w:val="14"/>
          <w:color w:val="auto"/>
        </w:rPr>
        <w:t>In determining whether the holders of the requisite aggregate principal amount of Securities of a particular series have concurred in any direction, consent, demand, authorization, notice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a Responsible Officer of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40" w:right="1440" w:bottom="1440" w:gutter="0" w:footer="0" w:header="0"/>
        </w:sectPr>
      </w:pPr>
    </w:p>
    <w:bookmarkStart w:id="133" w:name="page134"/>
    <w:bookmarkEnd w:id="133"/>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8.05 </w:t>
      </w:r>
      <w:r>
        <w:rPr>
          <w:rFonts w:ascii="Times New Roman" w:cs="Times New Roman" w:eastAsia="Times New Roman" w:hAnsi="Times New Roman"/>
          <w:sz w:val="14"/>
          <w:szCs w:val="14"/>
          <w:u w:val="single" w:color="auto"/>
          <w:color w:val="auto"/>
        </w:rPr>
        <w:t>Actions Binding on Future Securityholders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99" w:firstLine="335"/>
        <w:spacing w:after="0" w:line="247" w:lineRule="auto"/>
        <w:rPr>
          <w:sz w:val="20"/>
          <w:szCs w:val="20"/>
          <w:color w:val="auto"/>
        </w:rPr>
      </w:pPr>
      <w:r>
        <w:rPr>
          <w:rFonts w:ascii="Times New Roman" w:cs="Times New Roman" w:eastAsia="Times New Roman" w:hAnsi="Times New Roman"/>
          <w:sz w:val="14"/>
          <w:szCs w:val="14"/>
          <w:color w:val="auto"/>
        </w:rPr>
        <w:t xml:space="preserve">At any time prior to (but not after) the evidencing to the Trustee, as provided in </w:t>
      </w:r>
      <w:r>
        <w:rPr>
          <w:rFonts w:ascii="Times New Roman" w:cs="Times New Roman" w:eastAsia="Times New Roman" w:hAnsi="Times New Roman"/>
          <w:sz w:val="14"/>
          <w:szCs w:val="14"/>
          <w:u w:val="single" w:color="auto"/>
          <w:color w:val="auto"/>
        </w:rPr>
        <w:t>Section 8.01</w:t>
      </w:r>
      <w:r>
        <w:rPr>
          <w:rFonts w:ascii="Times New Roman" w:cs="Times New Roman" w:eastAsia="Times New Roman" w:hAnsi="Times New Roman"/>
          <w:sz w:val="14"/>
          <w:szCs w:val="14"/>
          <w:color w:val="auto"/>
        </w:rPr>
        <w:t>,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9</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SUPPLEMENTAL INDENTURES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9.01 </w:t>
      </w:r>
      <w:r>
        <w:rPr>
          <w:rFonts w:ascii="Times New Roman" w:cs="Times New Roman" w:eastAsia="Times New Roman" w:hAnsi="Times New Roman"/>
          <w:sz w:val="14"/>
          <w:szCs w:val="14"/>
          <w:u w:val="single" w:color="auto"/>
          <w:color w:val="auto"/>
        </w:rPr>
        <w:t>Supplemental Indentures Without the Consent of Securityholders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19" w:firstLine="335"/>
        <w:spacing w:after="0" w:line="255" w:lineRule="auto"/>
        <w:rPr>
          <w:sz w:val="20"/>
          <w:szCs w:val="20"/>
          <w:color w:val="auto"/>
        </w:rPr>
      </w:pPr>
      <w:r>
        <w:rPr>
          <w:rFonts w:ascii="Times New Roman" w:cs="Times New Roman" w:eastAsia="Times New Roman" w:hAnsi="Times New Roman"/>
          <w:sz w:val="14"/>
          <w:szCs w:val="14"/>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at any time Outstanding, for one or more of the following purposes:</w:t>
      </w:r>
    </w:p>
    <w:p>
      <w:pPr>
        <w:spacing w:after="0" w:line="61" w:lineRule="exact"/>
        <w:rPr>
          <w:sz w:val="20"/>
          <w:szCs w:val="20"/>
          <w:color w:val="auto"/>
        </w:rPr>
      </w:pPr>
    </w:p>
    <w:p>
      <w:pPr>
        <w:ind w:left="1260" w:hanging="188"/>
        <w:spacing w:after="0"/>
        <w:tabs>
          <w:tab w:leader="none" w:pos="126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herein or in the Securities of any series;</w:t>
      </w:r>
    </w:p>
    <w:p>
      <w:pPr>
        <w:spacing w:after="0" w:line="167"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comply with </w:t>
      </w:r>
      <w:r>
        <w:rPr>
          <w:rFonts w:ascii="Times New Roman" w:cs="Times New Roman" w:eastAsia="Times New Roman" w:hAnsi="Times New Roman"/>
          <w:sz w:val="14"/>
          <w:szCs w:val="14"/>
          <w:u w:val="single" w:color="auto"/>
          <w:color w:val="auto"/>
        </w:rPr>
        <w:t>Article 10</w:t>
      </w:r>
      <w:r>
        <w:rPr>
          <w:rFonts w:ascii="Times New Roman" w:cs="Times New Roman" w:eastAsia="Times New Roman" w:hAnsi="Times New Roman"/>
          <w:sz w:val="14"/>
          <w:szCs w:val="14"/>
          <w:color w:val="auto"/>
        </w:rPr>
        <w:t>;</w:t>
      </w:r>
    </w:p>
    <w:p>
      <w:pPr>
        <w:spacing w:after="0" w:line="167"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167" w:lineRule="exact"/>
        <w:rPr>
          <w:rFonts w:ascii="Times New Roman" w:cs="Times New Roman" w:eastAsia="Times New Roman" w:hAnsi="Times New Roman"/>
          <w:sz w:val="14"/>
          <w:szCs w:val="14"/>
          <w:color w:val="auto"/>
        </w:rPr>
      </w:pPr>
    </w:p>
    <w:p>
      <w:pPr>
        <w:ind w:left="320" w:right="419" w:firstLine="752"/>
        <w:spacing w:after="0" w:line="250" w:lineRule="auto"/>
        <w:tabs>
          <w:tab w:leader="none" w:pos="1267"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46" w:lineRule="exact"/>
        <w:rPr>
          <w:rFonts w:ascii="Times New Roman" w:cs="Times New Roman" w:eastAsia="Times New Roman" w:hAnsi="Times New Roman"/>
          <w:sz w:val="14"/>
          <w:szCs w:val="14"/>
          <w:color w:val="auto"/>
        </w:rPr>
      </w:pPr>
    </w:p>
    <w:p>
      <w:pPr>
        <w:ind w:left="320" w:right="679" w:firstLine="752"/>
        <w:spacing w:after="0" w:line="266" w:lineRule="auto"/>
        <w:tabs>
          <w:tab w:leader="none" w:pos="1259"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Securities, as herein set forth;</w:t>
      </w:r>
    </w:p>
    <w:p>
      <w:pPr>
        <w:spacing w:after="0" w:line="135" w:lineRule="exact"/>
        <w:rPr>
          <w:rFonts w:ascii="Times New Roman" w:cs="Times New Roman" w:eastAsia="Times New Roman" w:hAnsi="Times New Roman"/>
          <w:sz w:val="14"/>
          <w:szCs w:val="14"/>
          <w:color w:val="auto"/>
        </w:rPr>
      </w:pPr>
    </w:p>
    <w:p>
      <w:pPr>
        <w:ind w:left="1240" w:hanging="168"/>
        <w:spacing w:after="0"/>
        <w:tabs>
          <w:tab w:leader="none" w:pos="124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Securityholder in any material respect;</w:t>
      </w:r>
    </w:p>
    <w:p>
      <w:pPr>
        <w:spacing w:after="0" w:line="167" w:lineRule="exact"/>
        <w:rPr>
          <w:rFonts w:ascii="Times New Roman" w:cs="Times New Roman" w:eastAsia="Times New Roman" w:hAnsi="Times New Roman"/>
          <w:sz w:val="14"/>
          <w:szCs w:val="14"/>
          <w:color w:val="auto"/>
        </w:rPr>
      </w:pPr>
    </w:p>
    <w:p>
      <w:pPr>
        <w:ind w:left="1260" w:hanging="188"/>
        <w:spacing w:after="0"/>
        <w:tabs>
          <w:tab w:leader="none" w:pos="126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the Securities of any series as provided in</w:t>
      </w:r>
    </w:p>
    <w:p>
      <w:pPr>
        <w:spacing w:after="0" w:line="15" w:lineRule="exact"/>
        <w:rPr>
          <w:sz w:val="20"/>
          <w:szCs w:val="20"/>
          <w:color w:val="auto"/>
        </w:rPr>
      </w:pPr>
    </w:p>
    <w:p>
      <w:pPr>
        <w:ind w:left="320" w:right="459"/>
        <w:spacing w:after="0" w:line="249" w:lineRule="auto"/>
        <w:rPr>
          <w:sz w:val="20"/>
          <w:szCs w:val="20"/>
          <w:color w:val="auto"/>
        </w:rPr>
      </w:pP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to establish the form of any certifications required to be furnished pursuant to the terms of this Indenture or any series of Securities, or to add to the rights of the holders of any series of Securities;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40" w:right="1440" w:bottom="1440" w:gutter="0" w:footer="0" w:header="0"/>
        </w:sectPr>
      </w:pPr>
    </w:p>
    <w:bookmarkStart w:id="134" w:name="page135"/>
    <w:bookmarkEnd w:id="134"/>
    <w:p>
      <w:pPr>
        <w:ind w:left="1260" w:hanging="188"/>
        <w:spacing w:after="0"/>
        <w:tabs>
          <w:tab w:leader="none" w:pos="1260"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to evidence and provide for the acceptance of appointment hereunder by a successor trustee or to appoint a separate trustee with respect</w:t>
      </w:r>
    </w:p>
    <w:p>
      <w:pPr>
        <w:spacing w:after="0" w:line="26" w:lineRule="exact"/>
        <w:rPr>
          <w:rFonts w:ascii="Times New Roman" w:cs="Times New Roman" w:eastAsia="Times New Roman" w:hAnsi="Times New Roman"/>
          <w:sz w:val="13"/>
          <w:szCs w:val="13"/>
          <w:color w:val="auto"/>
        </w:rPr>
      </w:pPr>
    </w:p>
    <w:p>
      <w:pPr>
        <w:ind w:left="3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to any series; or</w:t>
      </w:r>
    </w:p>
    <w:p>
      <w:pPr>
        <w:spacing w:after="0" w:line="155" w:lineRule="exact"/>
        <w:rPr>
          <w:rFonts w:ascii="Times New Roman" w:cs="Times New Roman" w:eastAsia="Times New Roman" w:hAnsi="Times New Roman"/>
          <w:sz w:val="13"/>
          <w:szCs w:val="13"/>
          <w:color w:val="auto"/>
        </w:rPr>
      </w:pPr>
    </w:p>
    <w:p>
      <w:pPr>
        <w:ind w:left="320" w:right="499" w:firstLine="752"/>
        <w:spacing w:after="0" w:line="266" w:lineRule="auto"/>
        <w:tabs>
          <w:tab w:leader="none" w:pos="1236"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requirements of the Commission or any successor in connection with the qualification of this Indenture under the Trust Indenture Act.</w:t>
      </w:r>
    </w:p>
    <w:p>
      <w:pPr>
        <w:spacing w:after="0" w:line="136" w:lineRule="exact"/>
        <w:rPr>
          <w:sz w:val="20"/>
          <w:szCs w:val="20"/>
          <w:color w:val="auto"/>
        </w:rPr>
      </w:pPr>
    </w:p>
    <w:p>
      <w:pPr>
        <w:jc w:val="both"/>
        <w:ind w:left="320" w:right="799" w:firstLine="335"/>
        <w:spacing w:after="0" w:line="255" w:lineRule="auto"/>
        <w:rPr>
          <w:sz w:val="20"/>
          <w:szCs w:val="20"/>
          <w:color w:val="auto"/>
        </w:rPr>
      </w:pPr>
      <w:r>
        <w:rPr>
          <w:rFonts w:ascii="Times New Roman" w:cs="Times New Roman" w:eastAsia="Times New Roman" w:hAnsi="Times New Roman"/>
          <w:sz w:val="14"/>
          <w:szCs w:val="14"/>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43" w:lineRule="exact"/>
        <w:rPr>
          <w:sz w:val="20"/>
          <w:szCs w:val="20"/>
          <w:color w:val="auto"/>
        </w:rPr>
      </w:pPr>
    </w:p>
    <w:p>
      <w:pPr>
        <w:ind w:left="320" w:right="399" w:firstLine="335"/>
        <w:spacing w:after="0" w:line="266" w:lineRule="auto"/>
        <w:rPr>
          <w:sz w:val="20"/>
          <w:szCs w:val="20"/>
          <w:color w:val="auto"/>
        </w:rPr>
      </w:pPr>
      <w:r>
        <w:rPr>
          <w:rFonts w:ascii="Times New Roman" w:cs="Times New Roman" w:eastAsia="Times New Roman" w:hAnsi="Times New Roman"/>
          <w:sz w:val="14"/>
          <w:szCs w:val="14"/>
          <w:color w:val="auto"/>
        </w:rPr>
        <w:t xml:space="preserve">Any supplemental indenture authorized by the provisions of this Section may be executed by the Company and the Trustee without the consent of the holders of any of the Securities at the time Outstanding, notwithstanding any of the provisions of </w:t>
      </w:r>
      <w:r>
        <w:rPr>
          <w:rFonts w:ascii="Times New Roman" w:cs="Times New Roman" w:eastAsia="Times New Roman" w:hAnsi="Times New Roman"/>
          <w:sz w:val="14"/>
          <w:szCs w:val="14"/>
          <w:u w:val="single" w:color="auto"/>
          <w:color w:val="auto"/>
        </w:rPr>
        <w:t>Section 9.02</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9.02 </w:t>
      </w:r>
      <w:r>
        <w:rPr>
          <w:rFonts w:ascii="Times New Roman" w:cs="Times New Roman" w:eastAsia="Times New Roman" w:hAnsi="Times New Roman"/>
          <w:sz w:val="14"/>
          <w:szCs w:val="14"/>
          <w:u w:val="single" w:color="auto"/>
          <w:color w:val="auto"/>
        </w:rPr>
        <w:t>Supplemental Indentures With Consent of Securityholders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335"/>
        <w:spacing w:after="0" w:line="247" w:lineRule="auto"/>
        <w:rPr>
          <w:sz w:val="20"/>
          <w:szCs w:val="20"/>
          <w:color w:val="auto"/>
        </w:rPr>
      </w:pPr>
      <w:r>
        <w:rPr>
          <w:rFonts w:ascii="Times New Roman" w:cs="Times New Roman" w:eastAsia="Times New Roman" w:hAnsi="Times New Roman"/>
          <w:sz w:val="14"/>
          <w:szCs w:val="14"/>
          <w:color w:val="auto"/>
        </w:rPr>
        <w:t xml:space="preserve">With the consent (evidenced as provided in </w:t>
      </w:r>
      <w:r>
        <w:rPr>
          <w:rFonts w:ascii="Times New Roman" w:cs="Times New Roman" w:eastAsia="Times New Roman" w:hAnsi="Times New Roman"/>
          <w:sz w:val="14"/>
          <w:szCs w:val="14"/>
          <w:u w:val="single" w:color="auto"/>
          <w:color w:val="auto"/>
        </w:rPr>
        <w:t>Section 8.01</w:t>
      </w:r>
      <w:r>
        <w:rPr>
          <w:rFonts w:ascii="Times New Roman" w:cs="Times New Roman" w:eastAsia="Times New Roman" w:hAnsi="Times New Roman"/>
          <w:sz w:val="14"/>
          <w:szCs w:val="14"/>
          <w:color w:val="auto"/>
        </w:rPr>
        <w:t xml:space="preserve">)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w:t>
      </w:r>
      <w:r>
        <w:rPr>
          <w:rFonts w:ascii="Times New Roman" w:cs="Times New Roman" w:eastAsia="Times New Roman" w:hAnsi="Times New Roman"/>
          <w:sz w:val="14"/>
          <w:szCs w:val="14"/>
          <w:u w:val="single" w:color="auto"/>
          <w:color w:val="auto"/>
        </w:rPr>
        <w:t>Section 9.01</w:t>
      </w:r>
      <w:r>
        <w:rPr>
          <w:rFonts w:ascii="Times New Roman" w:cs="Times New Roman" w:eastAsia="Times New Roman" w:hAnsi="Times New Roman"/>
          <w:sz w:val="14"/>
          <w:szCs w:val="14"/>
          <w:color w:val="auto"/>
        </w:rPr>
        <w:t xml:space="preserve"> the rights of the holders of the Securities of such series under this Indenture;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50" w:lineRule="exact"/>
        <w:rPr>
          <w:sz w:val="20"/>
          <w:szCs w:val="20"/>
          <w:color w:val="auto"/>
        </w:rPr>
      </w:pPr>
    </w:p>
    <w:p>
      <w:pPr>
        <w:jc w:val="both"/>
        <w:ind w:left="320" w:right="419" w:firstLine="335"/>
        <w:spacing w:after="0" w:line="284" w:lineRule="auto"/>
        <w:rPr>
          <w:sz w:val="20"/>
          <w:szCs w:val="20"/>
          <w:color w:val="auto"/>
        </w:rPr>
      </w:pPr>
      <w:r>
        <w:rPr>
          <w:rFonts w:ascii="Times New Roman" w:cs="Times New Roman" w:eastAsia="Times New Roman" w:hAnsi="Times New Roman"/>
          <w:sz w:val="13"/>
          <w:szCs w:val="13"/>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 The Trustee shall not be obligated to enter into any such supplemental indenture that affects the Trustee’s own rights, duties or immunities under this Indenture or otherwise.</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9.03 </w:t>
      </w:r>
      <w:r>
        <w:rPr>
          <w:rFonts w:ascii="Times New Roman" w:cs="Times New Roman" w:eastAsia="Times New Roman" w:hAnsi="Times New Roman"/>
          <w:sz w:val="14"/>
          <w:szCs w:val="14"/>
          <w:u w:val="single" w:color="auto"/>
          <w:color w:val="auto"/>
        </w:rPr>
        <w:t>Effect of Supplemental Indentures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left="320" w:right="419" w:firstLine="335"/>
        <w:spacing w:after="0" w:line="255" w:lineRule="auto"/>
        <w:rPr>
          <w:sz w:val="20"/>
          <w:szCs w:val="20"/>
          <w:color w:val="auto"/>
        </w:rPr>
      </w:pPr>
      <w:r>
        <w:rPr>
          <w:rFonts w:ascii="Times New Roman" w:cs="Times New Roman" w:eastAsia="Times New Roman" w:hAnsi="Times New Roman"/>
          <w:sz w:val="14"/>
          <w:szCs w:val="14"/>
          <w:color w:val="auto"/>
        </w:rPr>
        <w:t xml:space="preserve">Upon the execution of any supplemental indenture pursuant to the provisions of this Article or of </w:t>
      </w:r>
      <w:r>
        <w:rPr>
          <w:rFonts w:ascii="Times New Roman" w:cs="Times New Roman" w:eastAsia="Times New Roman" w:hAnsi="Times New Roman"/>
          <w:sz w:val="14"/>
          <w:szCs w:val="14"/>
          <w:u w:val="single" w:color="auto"/>
          <w:color w:val="auto"/>
        </w:rPr>
        <w:t>Section 10.01</w:t>
      </w:r>
      <w:r>
        <w:rPr>
          <w:rFonts w:ascii="Times New Roman" w:cs="Times New Roman" w:eastAsia="Times New Roman" w:hAnsi="Times New Roman"/>
          <w:sz w:val="14"/>
          <w:szCs w:val="14"/>
          <w:color w:val="auto"/>
        </w:rPr>
        <w:t>, this Indenture shall, with respect to such series only, be and be deemed to be modified and amended in accordance therewith and the respective rights, limitations of rights, obligations, duties and immunities under this Indenture of the Trustee, the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39" w:right="1440" w:bottom="1440" w:gutter="0" w:footer="0" w:header="0"/>
        </w:sectPr>
      </w:pPr>
    </w:p>
    <w:bookmarkStart w:id="135" w:name="page136"/>
    <w:bookmarkEnd w:id="135"/>
    <w:p>
      <w:pPr>
        <w:ind w:left="320" w:right="43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with respect to such series.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9.04 </w:t>
      </w:r>
      <w:r>
        <w:rPr>
          <w:rFonts w:ascii="Times New Roman" w:cs="Times New Roman" w:eastAsia="Times New Roman" w:hAnsi="Times New Roman"/>
          <w:sz w:val="14"/>
          <w:szCs w:val="14"/>
          <w:u w:val="single" w:color="auto"/>
          <w:color w:val="auto"/>
        </w:rPr>
        <w:t>Securities Affected by Supplemental Indentures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59" w:firstLine="335"/>
        <w:spacing w:after="0" w:line="249" w:lineRule="auto"/>
        <w:rPr>
          <w:sz w:val="20"/>
          <w:szCs w:val="20"/>
          <w:color w:val="auto"/>
        </w:rPr>
      </w:pPr>
      <w:r>
        <w:rPr>
          <w:rFonts w:ascii="Times New Roman" w:cs="Times New Roman" w:eastAsia="Times New Roman" w:hAnsi="Times New Roman"/>
          <w:sz w:val="14"/>
          <w:szCs w:val="14"/>
          <w:color w:val="auto"/>
        </w:rPr>
        <w:t xml:space="preserve">Securities of any series affected by a supplemental indenture, authenticated and delivered after the execution of such supplemental indenture pursuant to the provisions of this Article or of </w:t>
      </w:r>
      <w:r>
        <w:rPr>
          <w:rFonts w:ascii="Times New Roman" w:cs="Times New Roman" w:eastAsia="Times New Roman" w:hAnsi="Times New Roman"/>
          <w:sz w:val="14"/>
          <w:szCs w:val="14"/>
          <w:u w:val="single" w:color="auto"/>
          <w:color w:val="auto"/>
        </w:rPr>
        <w:t>Section 10.01</w:t>
      </w:r>
      <w:r>
        <w:rPr>
          <w:rFonts w:ascii="Times New Roman" w:cs="Times New Roman" w:eastAsia="Times New Roman" w:hAnsi="Times New Roman"/>
          <w:sz w:val="14"/>
          <w:szCs w:val="14"/>
          <w:color w:val="auto"/>
        </w:rPr>
        <w:t>,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9.05 </w:t>
      </w:r>
      <w:r>
        <w:rPr>
          <w:rFonts w:ascii="Times New Roman" w:cs="Times New Roman" w:eastAsia="Times New Roman" w:hAnsi="Times New Roman"/>
          <w:sz w:val="14"/>
          <w:szCs w:val="14"/>
          <w:u w:val="single" w:color="auto"/>
          <w:color w:val="auto"/>
        </w:rPr>
        <w:t>Execution of Supplemental Indentures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269" w:lineRule="auto"/>
        <w:rPr>
          <w:sz w:val="20"/>
          <w:szCs w:val="20"/>
          <w:color w:val="auto"/>
        </w:rPr>
      </w:pPr>
      <w:r>
        <w:rPr>
          <w:rFonts w:ascii="Times New Roman" w:cs="Times New Roman" w:eastAsia="Times New Roman" w:hAnsi="Times New Roman"/>
          <w:sz w:val="13"/>
          <w:szCs w:val="13"/>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shall receive an Officer’s Certificate and an Opinion of Counsel as conclusive evidence that any supplemental indenture executed pursuant to this Article is authorized or permitted by the terms of this Article and that all conditions precedent to the execution of the supplemental indenture have been complied with and with respect to such Opinion of Counsel, that such supplemental indenture is the legal, valid and binding obligation of the Company, enforceable against each of them in accordance with its terms, subject to customary exceptions and qualifications.</w:t>
      </w:r>
    </w:p>
    <w:p>
      <w:pPr>
        <w:spacing w:after="0" w:line="137" w:lineRule="exact"/>
        <w:rPr>
          <w:sz w:val="20"/>
          <w:szCs w:val="20"/>
          <w:color w:val="auto"/>
        </w:rPr>
      </w:pPr>
    </w:p>
    <w:p>
      <w:pPr>
        <w:ind w:left="320" w:right="399" w:firstLine="335"/>
        <w:spacing w:after="0" w:line="250" w:lineRule="auto"/>
        <w:rPr>
          <w:sz w:val="20"/>
          <w:szCs w:val="20"/>
          <w:color w:val="auto"/>
        </w:rPr>
      </w:pPr>
      <w:r>
        <w:rPr>
          <w:rFonts w:ascii="Times New Roman" w:cs="Times New Roman" w:eastAsia="Times New Roman" w:hAnsi="Times New Roman"/>
          <w:sz w:val="14"/>
          <w:szCs w:val="14"/>
          <w:color w:val="auto"/>
        </w:rPr>
        <w:t>Promptly after the execution by the Company and the Trustee of any supplemental indenture pursuant to the provisions of this Article, the Company shall transmit by electronic mail, or by first class mail,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40" w:right="1440" w:bottom="1440" w:gutter="0" w:footer="0" w:header="0"/>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ARTICLE 10</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SUCCESSOR ENTITY</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10.01 </w:t>
      </w:r>
      <w:r>
        <w:rPr>
          <w:rFonts w:ascii="Times New Roman" w:cs="Times New Roman" w:eastAsia="Times New Roman" w:hAnsi="Times New Roman"/>
          <w:sz w:val="14"/>
          <w:szCs w:val="14"/>
          <w:u w:val="single" w:color="auto"/>
          <w:color w:val="auto"/>
        </w:rPr>
        <w:t>Company May Consolidate, Etc</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335"/>
        <w:spacing w:after="0" w:line="265" w:lineRule="auto"/>
        <w:rPr>
          <w:sz w:val="20"/>
          <w:szCs w:val="20"/>
          <w:color w:val="auto"/>
        </w:rPr>
      </w:pPr>
      <w:r>
        <w:rPr>
          <w:rFonts w:ascii="Times New Roman" w:cs="Times New Roman" w:eastAsia="Times New Roman" w:hAnsi="Times New Roman"/>
          <w:sz w:val="13"/>
          <w:szCs w:val="13"/>
          <w:color w:val="auto"/>
        </w:rPr>
        <w:t xml:space="preserve">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(a)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w:t>
      </w:r>
      <w:r>
        <w:rPr>
          <w:rFonts w:ascii="Times New Roman" w:cs="Times New Roman" w:eastAsia="Times New Roman" w:hAnsi="Times New Roman"/>
          <w:sz w:val="13"/>
          <w:szCs w:val="13"/>
          <w:u w:val="single" w:color="auto"/>
          <w:color w:val="auto"/>
        </w:rPr>
        <w:t>Section 2.01</w:t>
      </w:r>
      <w:r>
        <w:rPr>
          <w:rFonts w:ascii="Times New Roman" w:cs="Times New Roman" w:eastAsia="Times New Roman" w:hAnsi="Times New Roman"/>
          <w:sz w:val="13"/>
          <w:szCs w:val="13"/>
          <w:color w:val="auto"/>
        </w:rPr>
        <w:t xml:space="preserve"> to be kept or performed by the Company shall be expressly assumed, by supplemental indenture (which shall conform to the provisions of the Trust Indenture Act, as then in effect)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 If the Company is not the surviving entity of any such transaction, the Company or the continuing entity agrees to deliver to the Trustee an Officer’s Certificate and Opinion of Counsel stating that the transaction and the supplemental indenture complies with this Section 10.01 and that all conditions precedent herein relating to the transaction have been satisfied.</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10.02 </w:t>
      </w:r>
      <w:r>
        <w:rPr>
          <w:rFonts w:ascii="Times New Roman" w:cs="Times New Roman" w:eastAsia="Times New Roman" w:hAnsi="Times New Roman"/>
          <w:sz w:val="14"/>
          <w:szCs w:val="14"/>
          <w:u w:val="single" w:color="auto"/>
          <w:color w:val="auto"/>
        </w:rPr>
        <w:t>Successor Entity Substituted</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519" w:firstLine="752"/>
        <w:spacing w:after="0" w:line="277" w:lineRule="auto"/>
        <w:tabs>
          <w:tab w:leader="none" w:pos="1259"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case of any such consolidation, merger, sale, conveyance, transfer or other disposition and upon the assumption by the successor entity by supplemental indenture, executed and delivered to the Trustee, of the obligations set forth under </w:t>
      </w:r>
      <w:r>
        <w:rPr>
          <w:rFonts w:ascii="Times New Roman" w:cs="Times New Roman" w:eastAsia="Times New Roman" w:hAnsi="Times New Roman"/>
          <w:sz w:val="13"/>
          <w:szCs w:val="13"/>
          <w:u w:val="single" w:color="auto"/>
          <w:color w:val="auto"/>
        </w:rPr>
        <w:t>Section 10.01</w:t>
      </w:r>
      <w:r>
        <w:rPr>
          <w:rFonts w:ascii="Times New Roman" w:cs="Times New Roman" w:eastAsia="Times New Roman" w:hAnsi="Times New Roman"/>
          <w:sz w:val="13"/>
          <w:szCs w:val="13"/>
          <w:color w:val="auto"/>
        </w:rPr>
        <w:t xml:space="preserve">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30" w:lineRule="exact"/>
        <w:rPr>
          <w:rFonts w:ascii="Times New Roman" w:cs="Times New Roman" w:eastAsia="Times New Roman" w:hAnsi="Times New Roman"/>
          <w:sz w:val="13"/>
          <w:szCs w:val="13"/>
          <w:color w:val="auto"/>
        </w:rPr>
      </w:pPr>
    </w:p>
    <w:p>
      <w:pPr>
        <w:ind w:left="320" w:right="479" w:firstLine="752"/>
        <w:spacing w:after="0" w:line="266" w:lineRule="auto"/>
        <w:tabs>
          <w:tab w:leader="none" w:pos="1267"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35" w:lineRule="exact"/>
        <w:rPr>
          <w:rFonts w:ascii="Times New Roman" w:cs="Times New Roman" w:eastAsia="Times New Roman" w:hAnsi="Times New Roman"/>
          <w:sz w:val="14"/>
          <w:szCs w:val="14"/>
          <w:color w:val="auto"/>
        </w:rPr>
      </w:pPr>
    </w:p>
    <w:p>
      <w:pPr>
        <w:ind w:left="320" w:right="439" w:firstLine="752"/>
        <w:spacing w:after="0" w:line="255" w:lineRule="auto"/>
        <w:tabs>
          <w:tab w:leader="none" w:pos="1259"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35" w:right="1440"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ARTICLE 11</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11.01 </w:t>
      </w:r>
      <w:r>
        <w:rPr>
          <w:rFonts w:ascii="Times New Roman" w:cs="Times New Roman" w:eastAsia="Times New Roman" w:hAnsi="Times New Roman"/>
          <w:sz w:val="14"/>
          <w:szCs w:val="14"/>
          <w:u w:val="single" w:color="auto"/>
          <w:color w:val="auto"/>
        </w:rPr>
        <w:t>Satisfaction and Discharge of Indenture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335"/>
        <w:spacing w:after="0" w:line="249" w:lineRule="auto"/>
        <w:rPr>
          <w:sz w:val="20"/>
          <w:szCs w:val="20"/>
          <w:color w:val="auto"/>
        </w:rPr>
      </w:pPr>
      <w:r>
        <w:rPr>
          <w:rFonts w:ascii="Times New Roman" w:cs="Times New Roman" w:eastAsia="Times New Roman" w:hAnsi="Times New Roman"/>
          <w:sz w:val="14"/>
          <w:szCs w:val="14"/>
          <w:color w:val="auto"/>
        </w:rPr>
        <w:t xml:space="preserve">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w:t>
      </w:r>
      <w:r>
        <w:rPr>
          <w:rFonts w:ascii="Times New Roman" w:cs="Times New Roman" w:eastAsia="Times New Roman" w:hAnsi="Times New Roman"/>
          <w:sz w:val="14"/>
          <w:szCs w:val="14"/>
          <w:u w:val="single" w:color="auto"/>
          <w:color w:val="auto"/>
        </w:rPr>
        <w:t>Section 2.07</w:t>
      </w:r>
      <w:r>
        <w:rPr>
          <w:rFonts w:ascii="Times New Roman" w:cs="Times New Roman" w:eastAsia="Times New Roman" w:hAnsi="Times New Roman"/>
          <w:sz w:val="14"/>
          <w:szCs w:val="14"/>
          <w:color w:val="auto"/>
        </w:rPr>
        <w:t xml:space="preserve"> and Securities for whose payment money or Governmental Obligations have theretofore been deposited in trust or segregated and held in trust by the Company and thereupon repaid to the Company or discharged from such trust, as provided in </w:t>
      </w:r>
      <w:r>
        <w:rPr>
          <w:rFonts w:ascii="Times New Roman" w:cs="Times New Roman" w:eastAsia="Times New Roman" w:hAnsi="Times New Roman"/>
          <w:sz w:val="14"/>
          <w:szCs w:val="14"/>
          <w:u w:val="single" w:color="auto"/>
          <w:color w:val="auto"/>
        </w:rPr>
        <w:t>Section 11.05</w:t>
      </w:r>
      <w:r>
        <w:rPr>
          <w:rFonts w:ascii="Times New Roman" w:cs="Times New Roman" w:eastAsia="Times New Roman" w:hAnsi="Times New Roman"/>
          <w:sz w:val="14"/>
          <w:szCs w:val="14"/>
          <w:color w:val="auto"/>
        </w:rPr>
        <w:t>); or</w:t>
      </w:r>
    </w:p>
    <w:p>
      <w:pPr>
        <w:ind w:left="320" w:right="339" w:hanging="1"/>
        <w:spacing w:after="0" w:line="265" w:lineRule="auto"/>
        <w:tabs>
          <w:tab w:leader="none" w:pos="514"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w:t>
      </w:r>
      <w:r>
        <w:rPr>
          <w:rFonts w:ascii="Times New Roman" w:cs="Times New Roman" w:eastAsia="Times New Roman" w:hAnsi="Times New Roman"/>
          <w:sz w:val="13"/>
          <w:szCs w:val="13"/>
          <w:u w:val="single" w:color="auto"/>
          <w:color w:val="auto"/>
        </w:rPr>
        <w:t>Sections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2.03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2.05</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2.07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4.01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4.02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4.03</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7.10</w:t>
      </w:r>
      <w:r>
        <w:rPr>
          <w:rFonts w:ascii="Times New Roman" w:cs="Times New Roman" w:eastAsia="Times New Roman" w:hAnsi="Times New Roman"/>
          <w:sz w:val="13"/>
          <w:szCs w:val="13"/>
          <w:color w:val="auto"/>
        </w:rPr>
        <w:t xml:space="preserve">, that shall survive until the date of maturity or redemption date, as the case may be, and </w:t>
      </w:r>
      <w:r>
        <w:rPr>
          <w:rFonts w:ascii="Times New Roman" w:cs="Times New Roman" w:eastAsia="Times New Roman" w:hAnsi="Times New Roman"/>
          <w:sz w:val="13"/>
          <w:szCs w:val="13"/>
          <w:u w:val="single" w:color="auto"/>
          <w:color w:val="auto"/>
        </w:rPr>
        <w:t>Sections 7.06</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11.05</w:t>
      </w:r>
      <w:r>
        <w:rPr>
          <w:rFonts w:ascii="Times New Roman" w:cs="Times New Roman" w:eastAsia="Times New Roman" w:hAnsi="Times New Roman"/>
          <w:sz w:val="13"/>
          <w:szCs w:val="13"/>
          <w:color w:val="auto"/>
        </w:rPr>
        <w:t>, that shall survive to such date and thereafter, and the Trustee, on demand of the Company and at the cost and expense of the Company shall execute such instruments reasonably requested by the Company acknowledging satisfaction of and discharging this Indenture with respect to such series.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11.02 </w:t>
      </w:r>
      <w:r>
        <w:rPr>
          <w:rFonts w:ascii="Times New Roman" w:cs="Times New Roman" w:eastAsia="Times New Roman" w:hAnsi="Times New Roman"/>
          <w:sz w:val="14"/>
          <w:szCs w:val="14"/>
          <w:u w:val="single" w:color="auto"/>
          <w:color w:val="auto"/>
        </w:rPr>
        <w:t>Discharge of Obligations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335"/>
        <w:spacing w:after="0" w:line="247" w:lineRule="auto"/>
        <w:rPr>
          <w:sz w:val="20"/>
          <w:szCs w:val="20"/>
          <w:color w:val="auto"/>
        </w:rPr>
      </w:pPr>
      <w:r>
        <w:rPr>
          <w:rFonts w:ascii="Times New Roman" w:cs="Times New Roman" w:eastAsia="Times New Roman" w:hAnsi="Times New Roman"/>
          <w:sz w:val="14"/>
          <w:szCs w:val="14"/>
          <w:color w:val="auto"/>
        </w:rPr>
        <w:t xml:space="preserve">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w:t>
      </w:r>
      <w:r>
        <w:rPr>
          <w:rFonts w:ascii="Times New Roman" w:cs="Times New Roman" w:eastAsia="Times New Roman" w:hAnsi="Times New Roman"/>
          <w:sz w:val="14"/>
          <w:szCs w:val="14"/>
          <w:u w:val="single" w:color="auto"/>
          <w:color w:val="auto"/>
        </w:rPr>
        <w:t>Sections 2.03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2.05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2.07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4.02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4.03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7.06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7.10</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11.05</w:t>
      </w:r>
      <w:r>
        <w:rPr>
          <w:rFonts w:ascii="Times New Roman" w:cs="Times New Roman" w:eastAsia="Times New Roman" w:hAnsi="Times New Roman"/>
          <w:sz w:val="14"/>
          <w:szCs w:val="14"/>
          <w:color w:val="auto"/>
        </w:rPr>
        <w:t xml:space="preserve"> hereof that shall survive until such Securities shall mature and be paid.</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36" w:right="1440" w:bottom="1440" w:gutter="0" w:footer="0" w:header="0"/>
        </w:sectPr>
      </w:pPr>
    </w:p>
    <w:bookmarkStart w:id="138" w:name="page139"/>
    <w:bookmarkEnd w:id="138"/>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Thereafter, </w:t>
      </w:r>
      <w:r>
        <w:rPr>
          <w:rFonts w:ascii="Times New Roman" w:cs="Times New Roman" w:eastAsia="Times New Roman" w:hAnsi="Times New Roman"/>
          <w:sz w:val="14"/>
          <w:szCs w:val="14"/>
          <w:u w:val="single" w:color="auto"/>
          <w:color w:val="auto"/>
        </w:rPr>
        <w:t>Sections 7.06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11.05</w:t>
      </w:r>
      <w:r>
        <w:rPr>
          <w:rFonts w:ascii="Times New Roman" w:cs="Times New Roman" w:eastAsia="Times New Roman" w:hAnsi="Times New Roman"/>
          <w:sz w:val="14"/>
          <w:szCs w:val="14"/>
          <w:color w:val="auto"/>
        </w:rPr>
        <w:t xml:space="preserve"> shall survive.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11.03 </w:t>
      </w:r>
      <w:r>
        <w:rPr>
          <w:rFonts w:ascii="Times New Roman" w:cs="Times New Roman" w:eastAsia="Times New Roman" w:hAnsi="Times New Roman"/>
          <w:sz w:val="14"/>
          <w:szCs w:val="14"/>
          <w:u w:val="single" w:color="auto"/>
          <w:color w:val="auto"/>
        </w:rPr>
        <w:t>Deposited Moneys to be Held in Trust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19" w:firstLine="335"/>
        <w:spacing w:after="0" w:line="284" w:lineRule="auto"/>
        <w:rPr>
          <w:sz w:val="20"/>
          <w:szCs w:val="20"/>
          <w:color w:val="auto"/>
        </w:rPr>
      </w:pPr>
      <w:r>
        <w:rPr>
          <w:rFonts w:ascii="Times New Roman" w:cs="Times New Roman" w:eastAsia="Times New Roman" w:hAnsi="Times New Roman"/>
          <w:sz w:val="13"/>
          <w:szCs w:val="13"/>
          <w:color w:val="auto"/>
        </w:rPr>
        <w:t xml:space="preserve">All moneys or Governmental Obligations deposited with the Trustee pursuant to </w:t>
      </w:r>
      <w:r>
        <w:rPr>
          <w:rFonts w:ascii="Times New Roman" w:cs="Times New Roman" w:eastAsia="Times New Roman" w:hAnsi="Times New Roman"/>
          <w:sz w:val="13"/>
          <w:szCs w:val="13"/>
          <w:u w:val="single" w:color="auto"/>
          <w:color w:val="auto"/>
        </w:rPr>
        <w:t>Sections 11.01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11.02</w:t>
      </w:r>
      <w:r>
        <w:rPr>
          <w:rFonts w:ascii="Times New Roman" w:cs="Times New Roman" w:eastAsia="Times New Roman" w:hAnsi="Times New Roman"/>
          <w:sz w:val="13"/>
          <w:szCs w:val="13"/>
          <w:color w:val="auto"/>
        </w:rPr>
        <w:t xml:space="preserve"> shall be held in trust and shall be available for payment as due, either directly or through any paying agent (including the Company acting as its own paying agent ), to the holders of the particular series of Securities for the payment or redemption of which such moneys or Governmental Obligations have been deposited with the Trustee.</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11.04 </w:t>
      </w:r>
      <w:r>
        <w:rPr>
          <w:rFonts w:ascii="Times New Roman" w:cs="Times New Roman" w:eastAsia="Times New Roman" w:hAnsi="Times New Roman"/>
          <w:sz w:val="14"/>
          <w:szCs w:val="14"/>
          <w:u w:val="single" w:color="auto"/>
          <w:color w:val="auto"/>
        </w:rPr>
        <w:t>Payment of Moneys Held by Paying Agents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left="320" w:right="459" w:firstLine="335"/>
        <w:spacing w:after="0" w:line="255" w:lineRule="auto"/>
        <w:rPr>
          <w:sz w:val="20"/>
          <w:szCs w:val="20"/>
          <w:color w:val="auto"/>
        </w:rPr>
      </w:pPr>
      <w:r>
        <w:rPr>
          <w:rFonts w:ascii="Times New Roman" w:cs="Times New Roman" w:eastAsia="Times New Roman" w:hAnsi="Times New Roman"/>
          <w:sz w:val="14"/>
          <w:szCs w:val="14"/>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11.05 </w:t>
      </w:r>
      <w:r>
        <w:rPr>
          <w:rFonts w:ascii="Times New Roman" w:cs="Times New Roman" w:eastAsia="Times New Roman" w:hAnsi="Times New Roman"/>
          <w:sz w:val="14"/>
          <w:szCs w:val="14"/>
          <w:u w:val="single" w:color="auto"/>
          <w:color w:val="auto"/>
        </w:rPr>
        <w:t>Repayment to Company</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39" w:firstLine="335"/>
        <w:spacing w:after="0" w:line="270" w:lineRule="auto"/>
        <w:rPr>
          <w:sz w:val="20"/>
          <w:szCs w:val="20"/>
          <w:color w:val="auto"/>
        </w:rPr>
      </w:pPr>
      <w:r>
        <w:rPr>
          <w:rFonts w:ascii="Times New Roman" w:cs="Times New Roman" w:eastAsia="Times New Roman" w:hAnsi="Times New Roman"/>
          <w:sz w:val="13"/>
          <w:szCs w:val="13"/>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12</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IMMUNITY OF INCORPORATORS, STOCKHOLDERS, OFFICERS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AND DIRECTORS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12.01 </w:t>
      </w:r>
      <w:r>
        <w:rPr>
          <w:rFonts w:ascii="Times New Roman" w:cs="Times New Roman" w:eastAsia="Times New Roman" w:hAnsi="Times New Roman"/>
          <w:sz w:val="14"/>
          <w:szCs w:val="14"/>
          <w:u w:val="single" w:color="auto"/>
          <w:color w:val="auto"/>
        </w:rPr>
        <w:t>No Recourse</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rale of law, or by the enforcement of any assessment or penalty or otherwise; it being expressly</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240" w:right="1440" w:bottom="1440" w:gutter="0" w:footer="0" w:header="0"/>
        </w:sectPr>
      </w:pPr>
    </w:p>
    <w:bookmarkStart w:id="139" w:name="page140"/>
    <w:bookmarkEnd w:id="139"/>
    <w:p>
      <w:pPr>
        <w:ind w:left="320" w:right="479"/>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13</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MISCELLANEOUS PROVISIONS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13.01 </w:t>
      </w:r>
      <w:r>
        <w:rPr>
          <w:rFonts w:ascii="Times New Roman" w:cs="Times New Roman" w:eastAsia="Times New Roman" w:hAnsi="Times New Roman"/>
          <w:sz w:val="14"/>
          <w:szCs w:val="14"/>
          <w:u w:val="single" w:color="auto"/>
          <w:color w:val="auto"/>
        </w:rPr>
        <w:t>Effect on Successors and Assigns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639" w:firstLine="335"/>
        <w:spacing w:after="0" w:line="266" w:lineRule="auto"/>
        <w:rPr>
          <w:sz w:val="20"/>
          <w:szCs w:val="20"/>
          <w:color w:val="auto"/>
        </w:rPr>
      </w:pPr>
      <w:r>
        <w:rPr>
          <w:rFonts w:ascii="Times New Roman" w:cs="Times New Roman" w:eastAsia="Times New Roman" w:hAnsi="Times New Roman"/>
          <w:sz w:val="14"/>
          <w:szCs w:val="14"/>
          <w:color w:val="auto"/>
        </w:rPr>
        <w:t>All the covenants, stipulations, promises and agreements in this Indenture made by or on behalf of the Company shall bind its successors and assigns, whether so expressed or not.</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13.02 </w:t>
      </w:r>
      <w:r>
        <w:rPr>
          <w:rFonts w:ascii="Times New Roman" w:cs="Times New Roman" w:eastAsia="Times New Roman" w:hAnsi="Times New Roman"/>
          <w:sz w:val="14"/>
          <w:szCs w:val="14"/>
          <w:u w:val="single" w:color="auto"/>
          <w:color w:val="auto"/>
        </w:rPr>
        <w:t>Actions by Successor</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13.03 </w:t>
      </w:r>
      <w:r>
        <w:rPr>
          <w:rFonts w:ascii="Times New Roman" w:cs="Times New Roman" w:eastAsia="Times New Roman" w:hAnsi="Times New Roman"/>
          <w:sz w:val="14"/>
          <w:szCs w:val="14"/>
          <w:u w:val="single" w:color="auto"/>
          <w:color w:val="auto"/>
        </w:rPr>
        <w:t>Surrender of Company Powers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left="320" w:right="379" w:firstLine="335"/>
        <w:spacing w:after="0" w:line="305" w:lineRule="auto"/>
        <w:rPr>
          <w:sz w:val="20"/>
          <w:szCs w:val="20"/>
          <w:color w:val="auto"/>
        </w:rPr>
      </w:pPr>
      <w:r>
        <w:rPr>
          <w:rFonts w:ascii="Times New Roman" w:cs="Times New Roman" w:eastAsia="Times New Roman" w:hAnsi="Times New Roman"/>
          <w:sz w:val="13"/>
          <w:szCs w:val="13"/>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13.04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335"/>
        <w:spacing w:after="0" w:line="269" w:lineRule="auto"/>
        <w:rPr>
          <w:sz w:val="20"/>
          <w:szCs w:val="20"/>
          <w:color w:val="auto"/>
        </w:rPr>
      </w:pPr>
      <w:r>
        <w:rPr>
          <w:rFonts w:ascii="Times New Roman" w:cs="Times New Roman" w:eastAsia="Times New Roman" w:hAnsi="Times New Roman"/>
          <w:sz w:val="13"/>
          <w:szCs w:val="13"/>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any standard form of telecommunication or by being deposited in first class mail, postage prepaid, addressed (until another address is filed in writing by the Company with the Trustee), as follows: [ 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 Notwithstanding anything herein to the contrary, where reference herein is made to notice of any event (including notice of redemption) to a Securityholder of Global Securities, whether by mail or otherwise, such notice shall be sufficiently given when delivered to the Depositary (or its designee) pursuant to the customary procedures of the Depositary.</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240" w:right="1440" w:bottom="1440" w:gutter="0" w:footer="0" w:header="0"/>
        </w:sectPr>
      </w:pPr>
    </w:p>
    <w:bookmarkStart w:id="140" w:name="page141"/>
    <w:bookmarkEnd w:id="140"/>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13.05 </w:t>
      </w:r>
      <w:r>
        <w:rPr>
          <w:rFonts w:ascii="Times New Roman" w:cs="Times New Roman" w:eastAsia="Times New Roman" w:hAnsi="Times New Roman"/>
          <w:sz w:val="14"/>
          <w:szCs w:val="14"/>
          <w:u w:val="single" w:color="auto"/>
          <w:color w:val="auto"/>
        </w:rPr>
        <w:t>Governing Law: Jury Trial Waiver</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335"/>
        <w:spacing w:after="0" w:line="249" w:lineRule="auto"/>
        <w:rPr>
          <w:sz w:val="20"/>
          <w:szCs w:val="20"/>
          <w:color w:val="auto"/>
        </w:rPr>
      </w:pPr>
      <w:r>
        <w:rPr>
          <w:rFonts w:ascii="Times New Roman" w:cs="Times New Roman" w:eastAsia="Times New Roman" w:hAnsi="Times New Roman"/>
          <w:sz w:val="14"/>
          <w:szCs w:val="14"/>
          <w:color w:val="auto"/>
        </w:rPr>
        <w:t>THIS INDENTURE AND EACH SECURITY, AND ANY CLAIM, CONTROVERSY OR DISPUTE ARISING UNDER OR RELATED TO THIS INDENTURE AND EACH SECURITY, SHALL BE GOVERNED BY, AND CONSTRUED IN ACCORDANCE WITH, THE LAWS OF THE STATE OF NEW YORK (WITHOUT REGARD TO THE CONFLICTS OF LAWS PROVISIONS THEREOF). EACH OF THE COMPANY AND THE TRUSTEE HEREBY IRREVOCABLY WAIVES, TO THE FULLEST EXTENT PERMITTED BY APPLICABLE LAW, ANY AND ALL RIGHT TO TRIAL BY JURY IN ANY LEGAL PROCEEDING ARISING OUT OF OR RELATING TO THIS INDENTURE, THE SECURITIES OR THE TRANSACTION CONTEMPLATED HEREBY.</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13.06 </w:t>
      </w:r>
      <w:r>
        <w:rPr>
          <w:rFonts w:ascii="Times New Roman" w:cs="Times New Roman" w:eastAsia="Times New Roman" w:hAnsi="Times New Roman"/>
          <w:sz w:val="14"/>
          <w:szCs w:val="14"/>
          <w:u w:val="single" w:color="auto"/>
          <w:color w:val="auto"/>
        </w:rPr>
        <w:t>Treatment of Securities as Debt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335"/>
        <w:spacing w:after="0" w:line="266" w:lineRule="auto"/>
        <w:rPr>
          <w:sz w:val="20"/>
          <w:szCs w:val="20"/>
          <w:color w:val="auto"/>
        </w:rPr>
      </w:pPr>
      <w:r>
        <w:rPr>
          <w:rFonts w:ascii="Times New Roman" w:cs="Times New Roman" w:eastAsia="Times New Roman" w:hAnsi="Times New Roman"/>
          <w:sz w:val="14"/>
          <w:szCs w:val="14"/>
          <w:color w:val="auto"/>
        </w:rPr>
        <w:t>It is intended that the Securities will be treated as indebtedness and not as equity for federal income tax purposes. The provisions of this Indenture shall be interpreted to further this intention.</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13.07 </w:t>
      </w:r>
      <w:r>
        <w:rPr>
          <w:rFonts w:ascii="Times New Roman" w:cs="Times New Roman" w:eastAsia="Times New Roman" w:hAnsi="Times New Roman"/>
          <w:sz w:val="14"/>
          <w:szCs w:val="14"/>
          <w:u w:val="single" w:color="auto"/>
          <w:color w:val="auto"/>
        </w:rPr>
        <w:t>Certificates and Opinions as to Conditions Precedent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left="320" w:right="359" w:firstLine="752"/>
        <w:spacing w:after="0" w:line="252" w:lineRule="auto"/>
        <w:tabs>
          <w:tab w:leader="none" w:pos="1259"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any application or demand by the Company to the Trustee to take any action under any of the provisions of this Indenture, the Company shall furnish to the Trustee an Officer’s Certificate stating that all covenants and conditions precedent provided for in this Indenture (other than the certificate to be delivered pursuant to Section 13.12) relating to the proposed action have been complied with and an Opinion of Counsel stating that in the opinion of such counsel all such covenants and conditions precedent have been complied with.</w:t>
      </w:r>
    </w:p>
    <w:p>
      <w:pPr>
        <w:spacing w:after="0" w:line="144" w:lineRule="exact"/>
        <w:rPr>
          <w:rFonts w:ascii="Times New Roman" w:cs="Times New Roman" w:eastAsia="Times New Roman" w:hAnsi="Times New Roman"/>
          <w:sz w:val="14"/>
          <w:szCs w:val="14"/>
          <w:color w:val="auto"/>
        </w:rPr>
      </w:pPr>
    </w:p>
    <w:p>
      <w:pPr>
        <w:ind w:left="320" w:right="339" w:firstLine="752"/>
        <w:spacing w:after="0" w:line="249" w:lineRule="auto"/>
        <w:tabs>
          <w:tab w:leader="none" w:pos="1267"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13.08 </w:t>
      </w:r>
      <w:r>
        <w:rPr>
          <w:rFonts w:ascii="Times New Roman" w:cs="Times New Roman" w:eastAsia="Times New Roman" w:hAnsi="Times New Roman"/>
          <w:sz w:val="14"/>
          <w:szCs w:val="14"/>
          <w:u w:val="single" w:color="auto"/>
          <w:color w:val="auto"/>
        </w:rPr>
        <w:t>Payments on Business Days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 xml:space="preserve">Except as provided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pursuant to a Board Resolution, and set forth in an Officer’s Certificate, or established in one or more indentures supplemental to this Indenture, in any case where the date that principal of, interest and/or premium, if any, on any Security is due or otherwise payable shall not be a Business Day or is a day on which the banking institutions in the city of the office of the Paying Agent are authorized or obligated by</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019"/>
          </w:cols>
          <w:pgMar w:left="1440" w:top="240" w:right="1440" w:bottom="1440" w:gutter="0" w:footer="0" w:header="0"/>
        </w:sectPr>
      </w:pPr>
    </w:p>
    <w:bookmarkStart w:id="141" w:name="page142"/>
    <w:bookmarkEnd w:id="141"/>
    <w:p>
      <w:pPr>
        <w:ind w:left="320" w:right="339"/>
        <w:spacing w:after="0" w:line="28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law to close or be closed, then payment of principal, premium, if any, and/or interest may be made on the next succeeding day that is a Business Day and is not a day on which the banking institutions in the city of the office of the Paying Agent are authorized or obligated by law to close or be closed with the same force and effect as if made on the nominal date of maturity or redemption, and no interest shall accrue for the period after such nominal date.</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13.09 </w:t>
      </w:r>
      <w:r>
        <w:rPr>
          <w:rFonts w:ascii="Times New Roman" w:cs="Times New Roman" w:eastAsia="Times New Roman" w:hAnsi="Times New Roman"/>
          <w:sz w:val="14"/>
          <w:szCs w:val="14"/>
          <w:u w:val="single" w:color="auto"/>
          <w:color w:val="auto"/>
        </w:rPr>
        <w:t>Conflict with Trust Indenture Act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59" w:firstLine="335"/>
        <w:spacing w:after="0" w:line="266" w:lineRule="auto"/>
        <w:rPr>
          <w:sz w:val="20"/>
          <w:szCs w:val="20"/>
          <w:color w:val="auto"/>
        </w:rPr>
      </w:pPr>
      <w:r>
        <w:rPr>
          <w:rFonts w:ascii="Times New Roman" w:cs="Times New Roman" w:eastAsia="Times New Roman" w:hAnsi="Times New Roman"/>
          <w:sz w:val="14"/>
          <w:szCs w:val="14"/>
          <w:color w:val="auto"/>
        </w:rPr>
        <w:t>If and to the extent that any provision of this Indenture limits, qualifies or conflicts with the duties imposed by Sections 310 to 317, inclusive, of the Trust Indenture Act, such imposed duties shall control.</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13.10 </w:t>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79" w:firstLine="335"/>
        <w:spacing w:after="0" w:line="252" w:lineRule="auto"/>
        <w:rPr>
          <w:sz w:val="20"/>
          <w:szCs w:val="20"/>
          <w:color w:val="auto"/>
        </w:rPr>
      </w:pPr>
      <w:r>
        <w:rPr>
          <w:rFonts w:ascii="Times New Roman" w:cs="Times New Roman" w:eastAsia="Times New Roman" w:hAnsi="Times New Roman"/>
          <w:sz w:val="14"/>
          <w:szCs w:val="14"/>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13.11 </w:t>
      </w:r>
      <w:r>
        <w:rPr>
          <w:rFonts w:ascii="Times New Roman" w:cs="Times New Roman" w:eastAsia="Times New Roman" w:hAnsi="Times New Roman"/>
          <w:sz w:val="14"/>
          <w:szCs w:val="14"/>
          <w:u w:val="single" w:color="auto"/>
          <w:color w:val="auto"/>
        </w:rPr>
        <w:t>Separability</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left="320" w:right="519" w:firstLine="335"/>
        <w:spacing w:after="0" w:line="252" w:lineRule="auto"/>
        <w:rPr>
          <w:sz w:val="20"/>
          <w:szCs w:val="20"/>
          <w:color w:val="auto"/>
        </w:rPr>
      </w:pPr>
      <w:r>
        <w:rPr>
          <w:rFonts w:ascii="Times New Roman" w:cs="Times New Roman" w:eastAsia="Times New Roman" w:hAnsi="Times New Roman"/>
          <w:sz w:val="14"/>
          <w:szCs w:val="14"/>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13.12 </w:t>
      </w:r>
      <w:r>
        <w:rPr>
          <w:rFonts w:ascii="Times New Roman" w:cs="Times New Roman" w:eastAsia="Times New Roman" w:hAnsi="Times New Roman"/>
          <w:sz w:val="14"/>
          <w:szCs w:val="14"/>
          <w:u w:val="single" w:color="auto"/>
          <w:color w:val="auto"/>
        </w:rPr>
        <w:t>Compliance Certificates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59" w:firstLine="335"/>
        <w:spacing w:after="0" w:line="248" w:lineRule="auto"/>
        <w:rPr>
          <w:sz w:val="20"/>
          <w:szCs w:val="20"/>
          <w:color w:val="auto"/>
        </w:rPr>
      </w:pPr>
      <w:r>
        <w:rPr>
          <w:rFonts w:ascii="Times New Roman" w:cs="Times New Roman" w:eastAsia="Times New Roman" w:hAnsi="Times New Roman"/>
          <w:sz w:val="14"/>
          <w:szCs w:val="14"/>
          <w:color w:val="auto"/>
        </w:rPr>
        <w:t xml:space="preserve">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w:t>
      </w:r>
      <w:r>
        <w:rPr>
          <w:rFonts w:ascii="Times New Roman" w:cs="Times New Roman" w:eastAsia="Times New Roman" w:hAnsi="Times New Roman"/>
          <w:sz w:val="14"/>
          <w:szCs w:val="14"/>
          <w:u w:val="single" w:color="auto"/>
          <w:color w:val="auto"/>
        </w:rPr>
        <w:t>Section 13.12</w:t>
      </w:r>
      <w:r>
        <w:rPr>
          <w:rFonts w:ascii="Times New Roman" w:cs="Times New Roman" w:eastAsia="Times New Roman" w:hAnsi="Times New Roman"/>
          <w:sz w:val="14"/>
          <w:szCs w:val="14"/>
          <w:color w:val="auto"/>
        </w:rPr>
        <w:t>,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13.13 </w:t>
      </w:r>
      <w:r>
        <w:rPr>
          <w:rFonts w:ascii="Times New Roman" w:cs="Times New Roman" w:eastAsia="Times New Roman" w:hAnsi="Times New Roman"/>
          <w:sz w:val="14"/>
          <w:szCs w:val="14"/>
          <w:u w:val="single" w:color="auto"/>
          <w:color w:val="auto"/>
        </w:rPr>
        <w:t>USA PATRIOT ACT</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240" w:right="1440" w:bottom="1440" w:gutter="0" w:footer="0" w:header="0"/>
        </w:sectPr>
      </w:pPr>
    </w:p>
    <w:bookmarkStart w:id="142" w:name="page143"/>
    <w:bookmarkEnd w:id="142"/>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13.14 </w:t>
      </w:r>
      <w:r>
        <w:rPr>
          <w:rFonts w:ascii="Times New Roman" w:cs="Times New Roman" w:eastAsia="Times New Roman" w:hAnsi="Times New Roman"/>
          <w:sz w:val="14"/>
          <w:szCs w:val="14"/>
          <w:u w:val="single" w:color="auto"/>
          <w:color w:val="auto"/>
        </w:rPr>
        <w:t>Calculations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939" w:firstLine="335"/>
        <w:spacing w:after="0" w:line="266" w:lineRule="auto"/>
        <w:rPr>
          <w:sz w:val="20"/>
          <w:szCs w:val="20"/>
          <w:color w:val="auto"/>
        </w:rPr>
      </w:pPr>
      <w:r>
        <w:rPr>
          <w:rFonts w:ascii="Times New Roman" w:cs="Times New Roman" w:eastAsia="Times New Roman" w:hAnsi="Times New Roman"/>
          <w:sz w:val="14"/>
          <w:szCs w:val="14"/>
          <w:color w:val="auto"/>
        </w:rPr>
        <w:t>It is understood that the Trustee nor the Paying Agent shall have no responsibility for any calculations hereunder and shall be entitled to conclusively rely on the calculations of the Company without any independent verification or investigation.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14</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SUBORDINATION OF SECURITIES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Section 14.01 </w:t>
      </w:r>
      <w:r>
        <w:rPr>
          <w:rFonts w:ascii="Times New Roman" w:cs="Times New Roman" w:eastAsia="Times New Roman" w:hAnsi="Times New Roman"/>
          <w:sz w:val="14"/>
          <w:szCs w:val="14"/>
          <w:u w:val="single" w:color="auto"/>
          <w:color w:val="auto"/>
        </w:rPr>
        <w:t>Subordination Terms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320" w:right="439" w:firstLine="335"/>
        <w:spacing w:after="0" w:line="266" w:lineRule="auto"/>
        <w:rPr>
          <w:sz w:val="20"/>
          <w:szCs w:val="20"/>
          <w:color w:val="auto"/>
        </w:rPr>
      </w:pPr>
      <w:r>
        <w:rPr>
          <w:rFonts w:ascii="Times New Roman" w:cs="Times New Roman" w:eastAsia="Times New Roman" w:hAnsi="Times New Roman"/>
          <w:sz w:val="14"/>
          <w:szCs w:val="14"/>
          <w:color w:val="auto"/>
        </w:rPr>
        <w:t>The payment by the Company of the principal of, premium, if any, and interest on any series of Securities issues hereunder shall be subordinated to the extent set forth in an indenture supplemental hereto relating to such series.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019"/>
          </w:cols>
          <w:pgMar w:left="1440" w:top="239" w:right="1440" w:bottom="1440" w:gutter="0" w:footer="0" w:header="0"/>
        </w:sectPr>
      </w:pPr>
    </w:p>
    <w:bookmarkStart w:id="143" w:name="page144"/>
    <w:bookmarkEnd w:id="143"/>
    <w:p>
      <w:pPr>
        <w:ind w:left="66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 WITNESS WHEREOF</w:t>
      </w:r>
      <w:r>
        <w:rPr>
          <w:rFonts w:ascii="Times New Roman" w:cs="Times New Roman" w:eastAsia="Times New Roman" w:hAnsi="Times New Roman"/>
          <w:sz w:val="13"/>
          <w:szCs w:val="13"/>
          <w:color w:val="auto"/>
        </w:rPr>
        <w:t>, the parties hereto have caused this Indenture to be duly executed all as of the day and year first above written.</w:t>
      </w:r>
    </w:p>
    <w:p>
      <w:pPr>
        <w:spacing w:after="0" w:line="19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Q32 BIO INC</w:t>
      </w:r>
      <w:r>
        <w:rPr>
          <w:rFonts w:ascii="Times New Roman" w:cs="Times New Roman" w:eastAsia="Times New Roman" w:hAnsi="Times New Roman"/>
          <w:sz w:val="14"/>
          <w:szCs w:val="14"/>
          <w:color w:val="auto"/>
        </w:rPr>
        <w:t>., as Issuer</w:t>
      </w:r>
    </w:p>
    <w:p>
      <w:pPr>
        <w:spacing w:after="0" w:line="17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By:</w:t>
      </w:r>
    </w:p>
    <w:p>
      <w:pPr>
        <w:spacing w:after="0" w:line="1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-100965</wp:posOffset>
            </wp:positionV>
            <wp:extent cx="186944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5">
                      <a:extLst>
                        <a:ext uri="{28A0092B-C50C-407E-A947-70E740481C1C}"/>
                      </a:extLst>
                    </a:blip>
                    <a:srcRect/>
                    <a:stretch>
                      <a:fillRect/>
                    </a:stretch>
                  </pic:blipFill>
                  <pic:spPr bwMode="auto">
                    <a:xfrm>
                      <a:off x="0" y="0"/>
                      <a:ext cx="1869440" cy="6350"/>
                    </a:xfrm>
                    <a:prstGeom prst="rect">
                      <a:avLst/>
                    </a:prstGeom>
                    <a:noFill/>
                  </pic:spPr>
                </pic:pic>
              </a:graphicData>
            </a:graphic>
          </wp:anchor>
        </w:drawing>
      </w:r>
    </w:p>
    <w:p>
      <w:pPr>
        <w:ind w:left="534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15875</wp:posOffset>
            </wp:positionV>
            <wp:extent cx="186944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extLst>
                    </a:blip>
                    <a:srcRect/>
                    <a:stretch>
                      <a:fillRect/>
                    </a:stretch>
                  </pic:blipFill>
                  <pic:spPr bwMode="auto">
                    <a:xfrm>
                      <a:off x="0" y="0"/>
                      <a:ext cx="1869440" cy="635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-94615</wp:posOffset>
            </wp:positionV>
            <wp:extent cx="186944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extLst>
                    </a:blip>
                    <a:srcRect/>
                    <a:stretch>
                      <a:fillRect/>
                    </a:stretch>
                  </pic:blipFill>
                  <pic:spPr bwMode="auto">
                    <a:xfrm>
                      <a:off x="0" y="0"/>
                      <a:ext cx="1869440" cy="6350"/>
                    </a:xfrm>
                    <a:prstGeom prst="rect">
                      <a:avLst/>
                    </a:prstGeom>
                    <a:noFill/>
                  </pic:spPr>
                </pic:pic>
              </a:graphicData>
            </a:graphic>
          </wp:anchor>
        </w:drawing>
      </w:r>
    </w:p>
    <w:p>
      <w:pPr>
        <w:spacing w:after="0" w:line="15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[TRUSTEE]</w:t>
      </w:r>
      <w:r>
        <w:rPr>
          <w:rFonts w:ascii="Times New Roman" w:cs="Times New Roman" w:eastAsia="Times New Roman" w:hAnsi="Times New Roman"/>
          <w:sz w:val="14"/>
          <w:szCs w:val="14"/>
          <w:color w:val="auto"/>
        </w:rPr>
        <w:t>, as Trustee</w:t>
      </w:r>
    </w:p>
    <w:p>
      <w:pPr>
        <w:spacing w:after="0" w:line="17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By:</w:t>
      </w:r>
    </w:p>
    <w:p>
      <w:pPr>
        <w:spacing w:after="0" w:line="1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-100965</wp:posOffset>
            </wp:positionV>
            <wp:extent cx="186944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extLst>
                    </a:blip>
                    <a:srcRect/>
                    <a:stretch>
                      <a:fillRect/>
                    </a:stretch>
                  </pic:blipFill>
                  <pic:spPr bwMode="auto">
                    <a:xfrm>
                      <a:off x="0" y="0"/>
                      <a:ext cx="1869440" cy="6350"/>
                    </a:xfrm>
                    <a:prstGeom prst="rect">
                      <a:avLst/>
                    </a:prstGeom>
                    <a:noFill/>
                  </pic:spPr>
                </pic:pic>
              </a:graphicData>
            </a:graphic>
          </wp:anchor>
        </w:drawing>
      </w:r>
    </w:p>
    <w:p>
      <w:pPr>
        <w:ind w:left="534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15875</wp:posOffset>
            </wp:positionV>
            <wp:extent cx="186944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1869440" cy="635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-94615</wp:posOffset>
            </wp:positionV>
            <wp:extent cx="186944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1869440" cy="6350"/>
                    </a:xfrm>
                    <a:prstGeom prst="rect">
                      <a:avLst/>
                    </a:prstGeom>
                    <a:noFill/>
                  </pic:spPr>
                </pic:pic>
              </a:graphicData>
            </a:graphic>
          </wp:anchor>
        </w:drawing>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to Form of Indenture</w:t>
      </w:r>
    </w:p>
    <w:p>
      <w:pPr>
        <w:sectPr>
          <w:pgSz w:w="11900" w:h="16838" w:orient="portrait"/>
          <w:cols w:equalWidth="0" w:num="1">
            <w:col w:w="9019"/>
          </w:cols>
          <w:pgMar w:left="1440" w:top="236" w:right="1440" w:bottom="1440" w:gutter="0" w:footer="0" w:header="0"/>
        </w:sectPr>
      </w:pPr>
    </w:p>
    <w:bookmarkStart w:id="144" w:name="page145"/>
    <w:bookmarkEnd w:id="144"/>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TRUST INDENTURE ACT CROSS-REFERENCE TABLE</w:t>
      </w:r>
      <w:r>
        <w:rPr>
          <w:rFonts w:ascii="Times New Roman" w:cs="Times New Roman" w:eastAsia="Times New Roman" w:hAnsi="Times New Roman"/>
          <w:sz w:val="20"/>
          <w:szCs w:val="20"/>
          <w:b w:val="1"/>
          <w:bCs w:val="1"/>
          <w:color w:val="auto"/>
          <w:vertAlign w:val="superscript"/>
        </w:rPr>
        <w:t>2</w:t>
      </w:r>
    </w:p>
    <w:p>
      <w:pPr>
        <w:spacing w:after="0" w:line="103"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24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8"/>
              </w:rPr>
              <w:t>Section of Trust Indenture Act of 1939, as amended</w:t>
            </w:r>
          </w:p>
        </w:tc>
        <w:tc>
          <w:tcPr>
            <w:tcW w:w="4380" w:type="dxa"/>
            <w:vAlign w:val="bottom"/>
          </w:tcPr>
          <w:p>
            <w:pPr>
              <w:spacing w:after="0"/>
              <w:rPr>
                <w:sz w:val="11"/>
                <w:szCs w:val="11"/>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11"/>
                <w:szCs w:val="11"/>
                <w:b w:val="1"/>
                <w:bCs w:val="1"/>
                <w:color w:val="auto"/>
              </w:rPr>
              <w:t>Section of</w:t>
            </w:r>
          </w:p>
        </w:tc>
        <w:tc>
          <w:tcPr>
            <w:tcW w:w="0" w:type="dxa"/>
            <w:vAlign w:val="bottom"/>
          </w:tcPr>
          <w:p>
            <w:pPr>
              <w:spacing w:after="0"/>
              <w:rPr>
                <w:sz w:val="1"/>
                <w:szCs w:val="1"/>
                <w:color w:val="auto"/>
              </w:rPr>
            </w:pPr>
          </w:p>
        </w:tc>
      </w:tr>
      <w:tr>
        <w:trPr>
          <w:trHeight w:val="152"/>
        </w:trPr>
        <w:tc>
          <w:tcPr>
            <w:tcW w:w="2400" w:type="dxa"/>
            <w:vAlign w:val="bottom"/>
            <w:tcBorders>
              <w:bottom w:val="single" w:sz="8" w:color="auto"/>
            </w:tcBorders>
            <w:vMerge w:val="continue"/>
          </w:tcPr>
          <w:p>
            <w:pPr>
              <w:spacing w:after="0"/>
              <w:rPr>
                <w:sz w:val="13"/>
                <w:szCs w:val="13"/>
                <w:color w:val="auto"/>
              </w:rPr>
            </w:pPr>
          </w:p>
        </w:tc>
        <w:tc>
          <w:tcPr>
            <w:tcW w:w="4380" w:type="dxa"/>
            <w:vAlign w:val="bottom"/>
          </w:tcPr>
          <w:p>
            <w:pPr>
              <w:spacing w:after="0"/>
              <w:rPr>
                <w:sz w:val="13"/>
                <w:szCs w:val="13"/>
                <w:color w:val="auto"/>
              </w:rPr>
            </w:pPr>
          </w:p>
        </w:tc>
        <w:tc>
          <w:tcPr>
            <w:tcW w:w="15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1"/>
                <w:szCs w:val="11"/>
                <w:b w:val="1"/>
                <w:bCs w:val="1"/>
                <w:color w:val="auto"/>
              </w:rPr>
              <w:t>Indenture</w:t>
            </w:r>
          </w:p>
        </w:tc>
        <w:tc>
          <w:tcPr>
            <w:tcW w:w="0" w:type="dxa"/>
            <w:vAlign w:val="bottom"/>
          </w:tcPr>
          <w:p>
            <w:pPr>
              <w:spacing w:after="0"/>
              <w:rPr>
                <w:sz w:val="1"/>
                <w:szCs w:val="1"/>
                <w:color w:val="auto"/>
              </w:rPr>
            </w:pPr>
          </w:p>
        </w:tc>
      </w:tr>
      <w:tr>
        <w:trPr>
          <w:trHeight w:val="132"/>
        </w:trPr>
        <w:tc>
          <w:tcPr>
            <w:tcW w:w="240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310(a)</w:t>
            </w:r>
          </w:p>
        </w:tc>
        <w:tc>
          <w:tcPr>
            <w:tcW w:w="4380" w:type="dxa"/>
            <w:vAlign w:val="bottom"/>
          </w:tcPr>
          <w:p>
            <w:pPr>
              <w:spacing w:after="0"/>
              <w:rPr>
                <w:sz w:val="11"/>
                <w:szCs w:val="11"/>
                <w:color w:val="auto"/>
              </w:rPr>
            </w:pPr>
          </w:p>
        </w:tc>
        <w:tc>
          <w:tcPr>
            <w:tcW w:w="158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7.09</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310(b)</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7.08</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14"/>
                <w:szCs w:val="14"/>
                <w:color w:val="auto"/>
              </w:rPr>
            </w:pP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7.10</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310(c)</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Inapplicable</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311(a)</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7.13</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311(b)</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7.13</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311(c)</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Inapplicable</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312(a)</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14"/>
                <w:szCs w:val="14"/>
                <w:color w:val="auto"/>
              </w:rPr>
            </w:pP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5.02(a)</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312(b)</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5.02(c)</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312(c)</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5.02(c)</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313(a)</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5.04(a)</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313(b)</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5.04(b)</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313(c)</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5.04(a)</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14"/>
                <w:szCs w:val="14"/>
                <w:color w:val="auto"/>
              </w:rPr>
            </w:pP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5.04(b)</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313(d)</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5.04(c)</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314(a)</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5.03</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14"/>
                <w:szCs w:val="14"/>
                <w:color w:val="auto"/>
              </w:rPr>
            </w:pP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13.12</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314(b)</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Inapplicable</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314(c)</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13.07(a)</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314(d)</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Inapplicable</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314(e)</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13.07(b)</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314(f)</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Inapplicable</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315(a)</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7.01(a)</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14"/>
                <w:szCs w:val="14"/>
                <w:color w:val="auto"/>
              </w:rPr>
            </w:pP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7.01(b)</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315(b)</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7.14</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315(c)</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7.01(a)</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315(d)</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7.01(b)</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315(e)</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316(a)</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14"/>
                <w:szCs w:val="14"/>
                <w:color w:val="auto"/>
              </w:rPr>
            </w:pP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8.04</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316(b)</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6.04</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316(c)</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8.01</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317(a)</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317(b)</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176"/>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318(a)</w:t>
            </w:r>
          </w:p>
        </w:tc>
        <w:tc>
          <w:tcPr>
            <w:tcW w:w="596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13.09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72390</wp:posOffset>
            </wp:positionV>
            <wp:extent cx="586105"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586105" cy="6350"/>
                    </a:xfrm>
                    <a:prstGeom prst="rect">
                      <a:avLst/>
                    </a:prstGeom>
                    <a:noFill/>
                  </pic:spPr>
                </pic:pic>
              </a:graphicData>
            </a:graphic>
          </wp:anchor>
        </w:drawing>
      </w:r>
    </w:p>
    <w:p>
      <w:pPr>
        <w:spacing w:after="0" w:line="112" w:lineRule="exact"/>
        <w:rPr>
          <w:sz w:val="20"/>
          <w:szCs w:val="20"/>
          <w:color w:val="auto"/>
        </w:rPr>
      </w:pPr>
    </w:p>
    <w:p>
      <w:pPr>
        <w:ind w:left="640" w:right="619" w:hanging="321"/>
        <w:spacing w:after="0" w:line="202" w:lineRule="auto"/>
        <w:tabs>
          <w:tab w:leader="none" w:pos="640" w:val="left"/>
        </w:tabs>
        <w:numPr>
          <w:ilvl w:val="0"/>
          <w:numId w:val="1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This Cross-Reference Table does not constitute part of the Indenture and shall not have any bearing on the interpretation of any of its terms or provisions.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236" w:right="1440" w:bottom="1440" w:gutter="0" w:footer="0" w:header="0"/>
        </w:sectPr>
      </w:pPr>
    </w:p>
    <w:bookmarkStart w:id="145" w:name="page146"/>
    <w:bookmarkEnd w:id="145"/>
    <w:p>
      <w:pPr>
        <w:ind w:left="8060"/>
        <w:spacing w:after="0"/>
        <w:rPr>
          <w:sz w:val="20"/>
          <w:szCs w:val="20"/>
          <w:color w:val="auto"/>
        </w:rPr>
      </w:pPr>
      <w:r>
        <w:rPr>
          <w:rFonts w:ascii="Times New Roman" w:cs="Times New Roman" w:eastAsia="Times New Roman" w:hAnsi="Times New Roman"/>
          <w:sz w:val="13"/>
          <w:szCs w:val="13"/>
          <w:b w:val="1"/>
          <w:bCs w:val="1"/>
          <w:color w:val="auto"/>
        </w:rPr>
        <w:t>Exhibit 5.1</w:t>
      </w:r>
    </w:p>
    <w:p>
      <w:pPr>
        <w:spacing w:after="0" w:line="183"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4"/>
          <w:szCs w:val="14"/>
          <w:color w:val="auto"/>
        </w:rPr>
        <w:t xml:space="preserve">June 25, 2026          </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Q32 Bio Inc.</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830 Winter Street</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Waltham, MA 02451</w:t>
      </w:r>
    </w:p>
    <w:p>
      <w:pPr>
        <w:spacing w:after="0" w:line="176"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3"/>
          <w:szCs w:val="13"/>
          <w:u w:val="single" w:color="auto"/>
          <w:color w:val="auto"/>
        </w:rPr>
        <w:t>Securities Being Registered under Registration Statement on Form S-3</w:t>
      </w:r>
    </w:p>
    <w:p>
      <w:pPr>
        <w:spacing w:after="0" w:line="167" w:lineRule="exact"/>
        <w:rPr>
          <w:sz w:val="20"/>
          <w:szCs w:val="20"/>
          <w:color w:val="auto"/>
        </w:rPr>
      </w:pPr>
    </w:p>
    <w:p>
      <w:pPr>
        <w:ind w:left="320" w:right="339"/>
        <w:spacing w:after="0" w:line="268" w:lineRule="auto"/>
        <w:rPr>
          <w:sz w:val="20"/>
          <w:szCs w:val="20"/>
          <w:color w:val="auto"/>
        </w:rPr>
      </w:pPr>
      <w:r>
        <w:rPr>
          <w:rFonts w:ascii="Times New Roman" w:cs="Times New Roman" w:eastAsia="Times New Roman" w:hAnsi="Times New Roman"/>
          <w:sz w:val="13"/>
          <w:szCs w:val="13"/>
          <w:color w:val="auto"/>
        </w:rPr>
        <w:t>We have acted as counsel to you in connection with your filing of a Registration Statement on Form S-3 (as amended or supplemented, the “Registration Statement”) pursuant to the Securities Act of 1933, as amended (the “Securities Act”), relating to the offering by Q32 Bio Inc., a Delaware corporation (the “Company”), of up to $300,000,000 of any combination of (i) the Company’s common stock, par value $0.0001 per share (“Common Stock”), (ii) the Company’s preferred stock, par value $0.0001 per share (“Preferred Stock”), (iii) the Company’s debt securities (“Debt Securities”),</w:t>
      </w:r>
    </w:p>
    <w:p>
      <w:pPr>
        <w:spacing w:after="0" w:line="1" w:lineRule="exact"/>
        <w:rPr>
          <w:sz w:val="20"/>
          <w:szCs w:val="20"/>
          <w:color w:val="auto"/>
        </w:rPr>
      </w:pPr>
    </w:p>
    <w:p>
      <w:pPr>
        <w:ind w:left="320" w:right="359" w:hanging="1"/>
        <w:spacing w:after="0" w:line="268" w:lineRule="auto"/>
        <w:tabs>
          <w:tab w:leader="none" w:pos="551"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warrants to purchase Common Stock, Preferred Stock, Debt Securities or Units (as defined below ) (“Warrants”), and (v) units comprised of Common Stock, Preferred Stock, Debt Securities, Warrants and other securities in any combination (“Units”). The Common Stock, Preferred Stock, Debt Securities, Warrants and Units are sometimes referred to collectively herein as the “Securities.” The Securities may be issued in an unspecified number (with respect to Common Stock, Preferred Stock, Warrants, and Units) or in an unspecified principal amount (with respect to Debt Securities). The Registration Statement provides that the Securities may be offered separately or together, in separate series, in amounts, at prices and on terms to be set forth in one or more prospectus supplements (each a “Prospectus Supplement”) to the prospectus contained in the Registration Statement.</w:t>
      </w:r>
    </w:p>
    <w:p>
      <w:pPr>
        <w:spacing w:after="0" w:line="136" w:lineRule="exact"/>
        <w:rPr>
          <w:sz w:val="20"/>
          <w:szCs w:val="20"/>
          <w:color w:val="auto"/>
        </w:rPr>
      </w:pPr>
    </w:p>
    <w:p>
      <w:pPr>
        <w:ind w:left="320" w:right="599"/>
        <w:spacing w:after="0" w:line="255" w:lineRule="auto"/>
        <w:rPr>
          <w:sz w:val="20"/>
          <w:szCs w:val="20"/>
          <w:color w:val="auto"/>
        </w:rPr>
      </w:pPr>
      <w:r>
        <w:rPr>
          <w:rFonts w:ascii="Times New Roman" w:cs="Times New Roman" w:eastAsia="Times New Roman" w:hAnsi="Times New Roman"/>
          <w:sz w:val="14"/>
          <w:szCs w:val="14"/>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opinions set forth below are limited to the Delaware General Corporation Law and the law of New York.</w:t>
      </w:r>
    </w:p>
    <w:p>
      <w:pPr>
        <w:spacing w:after="0" w:line="167" w:lineRule="exact"/>
        <w:rPr>
          <w:sz w:val="20"/>
          <w:szCs w:val="20"/>
          <w:color w:val="auto"/>
        </w:rPr>
      </w:pPr>
    </w:p>
    <w:p>
      <w:pPr>
        <w:ind w:left="320" w:right="379"/>
        <w:spacing w:after="0" w:line="270" w:lineRule="auto"/>
        <w:rPr>
          <w:sz w:val="20"/>
          <w:szCs w:val="20"/>
          <w:color w:val="auto"/>
        </w:rPr>
      </w:pPr>
      <w:r>
        <w:rPr>
          <w:rFonts w:ascii="Times New Roman" w:cs="Times New Roman" w:eastAsia="Times New Roman" w:hAnsi="Times New Roman"/>
          <w:sz w:val="13"/>
          <w:szCs w:val="13"/>
          <w:color w:val="auto"/>
        </w:rPr>
        <w:t>For purposes of the opinions set forth below, without limiting any other exceptions or qualifications set forth herein, we have assumed that (i) each of the Debt Securities, Warrants and Units, and the indentures, warrant agreements, unit agreements and other agreements governing Securities offered pursuant to the Registration Statement will be governed by the internal law of New York and (ii) after the issuance of any Securities offered pursuant to the Registration Statement, the total number of issued shares of Common Stock or Preferred Stock, as applicable, together with the total number of shares of such stock issuable upon the exercise, exchange, conversion or settlement, as the case may be, of any exercisable, exchangeable or convertible security (including without limitation any Unit), as the case may be, then outstanding, will not exceed the total number of authorized shares of Common Stock or Preferred Stock, as applicable, then available for issuance under the Company’s certificate of incorporation as then in effect (the “Charter”).</w:t>
      </w:r>
    </w:p>
    <w:p>
      <w:pPr>
        <w:sectPr>
          <w:pgSz w:w="11900" w:h="16838" w:orient="portrait"/>
          <w:cols w:equalWidth="0" w:num="1">
            <w:col w:w="9019"/>
          </w:cols>
          <w:pgMar w:left="1440" w:top="123" w:right="1440" w:bottom="1440" w:gutter="0" w:footer="0" w:header="0"/>
        </w:sectPr>
      </w:pPr>
    </w:p>
    <w:bookmarkStart w:id="146" w:name="page147"/>
    <w:bookmarkEnd w:id="146"/>
    <w:p>
      <w:pPr>
        <w:ind w:left="3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Q32 Bio Inc.</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June 25, 2026</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Page 2</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purposes of the opinions set forth below, we refer to the following as the “Future Approval and Issuance” of Securities:</w:t>
      </w:r>
    </w:p>
    <w:p>
      <w:pPr>
        <w:spacing w:after="0" w:line="95" w:lineRule="exact"/>
        <w:rPr>
          <w:sz w:val="20"/>
          <w:szCs w:val="20"/>
          <w:color w:val="auto"/>
        </w:rPr>
      </w:pPr>
    </w:p>
    <w:p>
      <w:pPr>
        <w:ind w:left="1060" w:right="359" w:hanging="331"/>
        <w:spacing w:after="0" w:line="252" w:lineRule="auto"/>
        <w:tabs>
          <w:tab w:leader="none" w:pos="106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of the Securities, (a) the approval by the Company of the amount, terms and issuance of such Securities (the “Approval”) and (b) the issuance of such Securities in accordance with the Approval upon the receipt by the Company of the consideration (which, in the case of shares of Common Stock or Preferred Stock, is not less than the par value of such shares) to be paid in accordance with the Approval;</w:t>
      </w:r>
    </w:p>
    <w:p>
      <w:pPr>
        <w:spacing w:after="0" w:line="72" w:lineRule="exact"/>
        <w:rPr>
          <w:rFonts w:ascii="Times New Roman" w:cs="Times New Roman" w:eastAsia="Times New Roman" w:hAnsi="Times New Roman"/>
          <w:sz w:val="14"/>
          <w:szCs w:val="14"/>
          <w:color w:val="auto"/>
        </w:rPr>
      </w:pPr>
    </w:p>
    <w:p>
      <w:pPr>
        <w:ind w:left="1060" w:right="399" w:hanging="331"/>
        <w:spacing w:after="0" w:line="284" w:lineRule="auto"/>
        <w:tabs>
          <w:tab w:leader="none" w:pos="106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Preferred Stock, (a) the establishment of the terms of such Preferred Stock by the Company in conformity with the Charter and applicable law and (b) the execution, acknowledgement and filing with the Delaware Secretary of State, and the effectiveness of, a certificate of designations to the Charter setting forth the terms of such Preferred Stock in accordance with the Charter and applicable law;</w:t>
      </w:r>
    </w:p>
    <w:p>
      <w:pPr>
        <w:spacing w:after="0" w:line="54" w:lineRule="exact"/>
        <w:rPr>
          <w:rFonts w:ascii="Times New Roman" w:cs="Times New Roman" w:eastAsia="Times New Roman" w:hAnsi="Times New Roman"/>
          <w:sz w:val="13"/>
          <w:szCs w:val="13"/>
          <w:color w:val="auto"/>
        </w:rPr>
      </w:pPr>
    </w:p>
    <w:p>
      <w:pPr>
        <w:ind w:left="1060" w:right="399" w:hanging="331"/>
        <w:spacing w:after="0" w:line="252" w:lineRule="auto"/>
        <w:tabs>
          <w:tab w:leader="none" w:pos="106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Debt Securities, (a) the approval, execution and delivery of the indenture or a supplemental indenture relating to such Securities by the Company and the trustee and/or (b) the establishment of the terms of such Securities by the Company in conformity with the indenture or supplemental indenture and applicable law, and (c) the execution, authentication and issuance of such Securities in accordance with the indenture or supplemental indenture and applicable law; and</w:t>
      </w:r>
    </w:p>
    <w:p>
      <w:pPr>
        <w:spacing w:after="0" w:line="72" w:lineRule="exact"/>
        <w:rPr>
          <w:rFonts w:ascii="Times New Roman" w:cs="Times New Roman" w:eastAsia="Times New Roman" w:hAnsi="Times New Roman"/>
          <w:sz w:val="14"/>
          <w:szCs w:val="14"/>
          <w:color w:val="auto"/>
        </w:rPr>
      </w:pPr>
    </w:p>
    <w:p>
      <w:pPr>
        <w:ind w:left="1060" w:right="399" w:hanging="331"/>
        <w:spacing w:after="0" w:line="255" w:lineRule="auto"/>
        <w:tabs>
          <w:tab w:leader="none" w:pos="106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Warrants or Units, (a) the approval, execution and delivery by the Company and any other parties thereto of any agreement under which such Securities are to be issued, and (b) the establishment of the terms of such Securities and the issuance of such Securities in conformity with those terms, the terms of any applicable agreement and applicable law.</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Based upon the foregoing, and subject to the additional qualifications set forth below, we are of the opinion that:</w:t>
      </w:r>
    </w:p>
    <w:p>
      <w:pPr>
        <w:spacing w:after="0" w:line="85" w:lineRule="exact"/>
        <w:rPr>
          <w:sz w:val="20"/>
          <w:szCs w:val="20"/>
          <w:color w:val="auto"/>
        </w:rPr>
      </w:pPr>
    </w:p>
    <w:p>
      <w:pPr>
        <w:ind w:left="320" w:right="719" w:firstLine="333"/>
        <w:spacing w:after="0" w:line="266" w:lineRule="auto"/>
        <w:tabs>
          <w:tab w:leader="none" w:pos="791"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Future Approval and Issuance of shares of Common Stock, such shares of Common Stock will be validly issued, fully paid and nonassessable.</w:t>
      </w:r>
    </w:p>
    <w:p>
      <w:pPr>
        <w:spacing w:after="0" w:line="135" w:lineRule="exact"/>
        <w:rPr>
          <w:rFonts w:ascii="Times New Roman" w:cs="Times New Roman" w:eastAsia="Times New Roman" w:hAnsi="Times New Roman"/>
          <w:sz w:val="14"/>
          <w:szCs w:val="14"/>
          <w:color w:val="auto"/>
        </w:rPr>
      </w:pPr>
    </w:p>
    <w:p>
      <w:pPr>
        <w:ind w:left="320" w:right="719" w:firstLine="333"/>
        <w:spacing w:after="0" w:line="266" w:lineRule="auto"/>
        <w:tabs>
          <w:tab w:leader="none" w:pos="791"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Future Approval and Issuance of shares of Preferred Stock, such shares of Preferred Stock will be validly issued, fully paid and nonassessable.</w:t>
      </w:r>
    </w:p>
    <w:p>
      <w:pPr>
        <w:spacing w:after="0" w:line="135" w:lineRule="exact"/>
        <w:rPr>
          <w:rFonts w:ascii="Times New Roman" w:cs="Times New Roman" w:eastAsia="Times New Roman" w:hAnsi="Times New Roman"/>
          <w:sz w:val="14"/>
          <w:szCs w:val="14"/>
          <w:color w:val="auto"/>
        </w:rPr>
      </w:pPr>
    </w:p>
    <w:p>
      <w:pPr>
        <w:ind w:left="800" w:hanging="147"/>
        <w:spacing w:after="0"/>
        <w:tabs>
          <w:tab w:leader="none" w:pos="80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Future Approval and Issuance of Debt Securities, such Debt Securities will be valid and binding obligations of the Company.</w:t>
      </w:r>
    </w:p>
    <w:p>
      <w:pPr>
        <w:sectPr>
          <w:pgSz w:w="11900" w:h="16838" w:orient="portrait"/>
          <w:cols w:equalWidth="0" w:num="1">
            <w:col w:w="9019"/>
          </w:cols>
          <w:pgMar w:left="1440" w:top="239" w:right="1440" w:bottom="1440" w:gutter="0" w:footer="0" w:header="0"/>
        </w:sectPr>
      </w:pPr>
    </w:p>
    <w:bookmarkStart w:id="147" w:name="page148"/>
    <w:bookmarkEnd w:id="147"/>
    <w:p>
      <w:pPr>
        <w:ind w:left="3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Q32 Bio Inc.</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June 25, 2026</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Page 3</w:t>
      </w:r>
    </w:p>
    <w:p>
      <w:pPr>
        <w:spacing w:after="0" w:line="104" w:lineRule="exact"/>
        <w:rPr>
          <w:sz w:val="20"/>
          <w:szCs w:val="20"/>
          <w:color w:val="auto"/>
        </w:rPr>
      </w:pPr>
    </w:p>
    <w:p>
      <w:pPr>
        <w:ind w:left="800" w:hanging="147"/>
        <w:spacing w:after="0"/>
        <w:tabs>
          <w:tab w:leader="none" w:pos="80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Future Approval and Issuance of Warrants, such Warrants will be valid and binding obligations of the Company.</w:t>
      </w:r>
    </w:p>
    <w:p>
      <w:pPr>
        <w:spacing w:after="0" w:line="167" w:lineRule="exact"/>
        <w:rPr>
          <w:rFonts w:ascii="Times New Roman" w:cs="Times New Roman" w:eastAsia="Times New Roman" w:hAnsi="Times New Roman"/>
          <w:sz w:val="14"/>
          <w:szCs w:val="14"/>
          <w:color w:val="auto"/>
        </w:rPr>
      </w:pPr>
    </w:p>
    <w:p>
      <w:pPr>
        <w:ind w:left="800" w:hanging="147"/>
        <w:spacing w:after="0"/>
        <w:tabs>
          <w:tab w:leader="none" w:pos="80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Future Approval and Issuance of Units, such Units will be valid and binding obligations of the Company.</w:t>
      </w:r>
    </w:p>
    <w:p>
      <w:pPr>
        <w:spacing w:after="0" w:line="167" w:lineRule="exact"/>
        <w:rPr>
          <w:sz w:val="20"/>
          <w:szCs w:val="20"/>
          <w:color w:val="auto"/>
        </w:rPr>
      </w:pPr>
    </w:p>
    <w:p>
      <w:pPr>
        <w:ind w:left="320" w:right="519"/>
        <w:spacing w:after="0" w:line="266" w:lineRule="auto"/>
        <w:rPr>
          <w:sz w:val="20"/>
          <w:szCs w:val="20"/>
          <w:color w:val="auto"/>
        </w:rPr>
      </w:pPr>
      <w:r>
        <w:rPr>
          <w:rFonts w:ascii="Times New Roman" w:cs="Times New Roman" w:eastAsia="Times New Roman" w:hAnsi="Times New Roman"/>
          <w:sz w:val="14"/>
          <w:szCs w:val="14"/>
          <w:color w:val="auto"/>
        </w:rPr>
        <w:t>The opinions expressed above are subject to bankruptcy, insolvency, fraudulent transfer, reorganization, moratorium and other similar laws of general application affecting the rights and remedies of creditors and to general principles of equity.</w:t>
      </w:r>
    </w:p>
    <w:p>
      <w:pPr>
        <w:spacing w:after="0" w:line="132" w:lineRule="exact"/>
        <w:rPr>
          <w:sz w:val="20"/>
          <w:szCs w:val="20"/>
          <w:color w:val="auto"/>
        </w:rPr>
      </w:pPr>
    </w:p>
    <w:p>
      <w:pPr>
        <w:ind w:left="320" w:right="459"/>
        <w:spacing w:after="0" w:line="272" w:lineRule="auto"/>
        <w:rPr>
          <w:sz w:val="20"/>
          <w:szCs w:val="20"/>
          <w:color w:val="auto"/>
        </w:rPr>
      </w:pPr>
      <w:r>
        <w:rPr>
          <w:rFonts w:ascii="Times New Roman" w:cs="Times New Roman" w:eastAsia="Times New Roman" w:hAnsi="Times New Roman"/>
          <w:sz w:val="14"/>
          <w:szCs w:val="14"/>
          <w:color w:val="auto"/>
        </w:rPr>
        <w:t xml:space="preserve">This opinion letter and the opinions it contains shall be interpreted in accordance with the Core Opinion Principles as published in 74 </w:t>
      </w:r>
      <w:r>
        <w:rPr>
          <w:rFonts w:ascii="Times New Roman" w:cs="Times New Roman" w:eastAsia="Times New Roman" w:hAnsi="Times New Roman"/>
          <w:sz w:val="14"/>
          <w:szCs w:val="14"/>
          <w:i w:val="1"/>
          <w:iCs w:val="1"/>
          <w:color w:val="auto"/>
        </w:rPr>
        <w:t>Business Lawyer</w:t>
      </w:r>
      <w:r>
        <w:rPr>
          <w:rFonts w:ascii="Times New Roman" w:cs="Times New Roman" w:eastAsia="Times New Roman" w:hAnsi="Times New Roman"/>
          <w:sz w:val="14"/>
          <w:szCs w:val="14"/>
          <w:color w:val="auto"/>
        </w:rPr>
        <w:t xml:space="preserve"> 815 (Summer 2019).</w:t>
      </w:r>
    </w:p>
    <w:p>
      <w:pPr>
        <w:spacing w:after="0" w:line="131" w:lineRule="exact"/>
        <w:rPr>
          <w:sz w:val="20"/>
          <w:szCs w:val="20"/>
          <w:color w:val="auto"/>
        </w:rPr>
      </w:pPr>
    </w:p>
    <w:p>
      <w:pPr>
        <w:ind w:left="320" w:right="359"/>
        <w:spacing w:after="0" w:line="255" w:lineRule="auto"/>
        <w:rPr>
          <w:sz w:val="20"/>
          <w:szCs w:val="20"/>
          <w:color w:val="auto"/>
        </w:rPr>
      </w:pPr>
      <w:r>
        <w:rPr>
          <w:rFonts w:ascii="Times New Roman" w:cs="Times New Roman" w:eastAsia="Times New Roman" w:hAnsi="Times New Roman"/>
          <w:sz w:val="14"/>
          <w:szCs w:val="14"/>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6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xml:space="preserve">/ Goodwin Procter </w:t>
      </w:r>
      <w:r>
        <w:rPr>
          <w:rFonts w:ascii="Times New Roman" w:cs="Times New Roman" w:eastAsia="Times New Roman" w:hAnsi="Times New Roman"/>
          <w:sz w:val="11"/>
          <w:szCs w:val="11"/>
          <w:color w:val="auto"/>
        </w:rPr>
        <w:t>LLP</w:t>
      </w:r>
    </w:p>
    <w:p>
      <w:pPr>
        <w:spacing w:after="0" w:line="1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GOODWIN PROCTER LLP</w:t>
      </w:r>
    </w:p>
    <w:p>
      <w:pPr>
        <w:sectPr>
          <w:pgSz w:w="11900" w:h="16838" w:orient="portrait"/>
          <w:cols w:equalWidth="0" w:num="1">
            <w:col w:w="9019"/>
          </w:cols>
          <w:pgMar w:left="1440" w:top="240" w:right="1440" w:bottom="1440" w:gutter="0" w:footer="0" w:header="0"/>
        </w:sectPr>
      </w:pPr>
    </w:p>
    <w:bookmarkStart w:id="148" w:name="page149"/>
    <w:bookmarkEnd w:id="148"/>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1" w:lineRule="exact"/>
        <w:rPr>
          <w:sz w:val="20"/>
          <w:szCs w:val="20"/>
          <w:color w:val="auto"/>
        </w:rPr>
      </w:pPr>
    </w:p>
    <w:p>
      <w:pPr>
        <w:ind w:left="320" w:right="379"/>
        <w:spacing w:after="0" w:line="252"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the Registration Statement (Form S-3) and related Prospectus of Q32 Bio Inc. for the registration of common stock, preferred stock, debt securities, warrants and units and to the incorporation by reference therein of our report dated March 10, 2026, with respect to the consolidated financial statements of Q32 Bio Inc. included in its Annual Report (Form 10-K) for the year ended December 31, 2025, filed with the Securities and Exchange Commission.</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June 25, 2026</w:t>
      </w:r>
    </w:p>
    <w:p>
      <w:pPr>
        <w:sectPr>
          <w:pgSz w:w="11900" w:h="16838" w:orient="portrait"/>
          <w:cols w:equalWidth="0" w:num="1">
            <w:col w:w="9019"/>
          </w:cols>
          <w:pgMar w:left="1440" w:top="123" w:right="1440" w:bottom="1440" w:gutter="0" w:footer="0" w:header="0"/>
        </w:sectPr>
      </w:pPr>
    </w:p>
    <w:bookmarkStart w:id="149" w:name="page150"/>
    <w:bookmarkEnd w:id="149"/>
    <w:p>
      <w:pPr>
        <w:spacing w:after="0" w:line="73" w:lineRule="exact"/>
        <w:rPr>
          <w:sz w:val="20"/>
          <w:szCs w:val="20"/>
          <w:color w:val="auto"/>
        </w:rPr>
      </w:pPr>
    </w:p>
    <w:p>
      <w:pPr>
        <w:ind w:left="3540"/>
        <w:spacing w:after="0"/>
        <w:rPr>
          <w:sz w:val="20"/>
          <w:szCs w:val="20"/>
          <w:color w:val="auto"/>
        </w:rPr>
      </w:pPr>
      <w:r>
        <w:rPr>
          <w:rFonts w:ascii="Arial" w:cs="Arial" w:eastAsia="Arial" w:hAnsi="Arial"/>
          <w:sz w:val="27"/>
          <w:szCs w:val="27"/>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100" w:lineRule="exact"/>
        <w:rPr>
          <w:sz w:val="20"/>
          <w:szCs w:val="20"/>
          <w:color w:val="auto"/>
        </w:rPr>
      </w:pPr>
    </w:p>
    <w:p>
      <w:pPr>
        <w:jc w:val="center"/>
        <w:ind w:right="200"/>
        <w:spacing w:after="0"/>
        <w:rPr>
          <w:sz w:val="20"/>
          <w:szCs w:val="20"/>
          <w:color w:val="auto"/>
        </w:rPr>
      </w:pPr>
      <w:r>
        <w:rPr>
          <w:rFonts w:ascii="Arial" w:cs="Arial" w:eastAsia="Arial" w:hAnsi="Arial"/>
          <w:sz w:val="27"/>
          <w:szCs w:val="27"/>
          <w:b w:val="1"/>
          <w:bCs w:val="1"/>
          <w:color w:val="auto"/>
        </w:rPr>
        <w:t>Q32 Bio Inc.</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4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8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2"/>
          </w:tcPr>
          <w:p>
            <w:pPr>
              <w:ind w:left="2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Fee</w:t>
            </w:r>
          </w:p>
        </w:tc>
        <w:tc>
          <w:tcPr>
            <w:tcW w:w="880" w:type="dxa"/>
            <w:vAlign w:val="bottom"/>
          </w:tcPr>
          <w:p>
            <w:pPr>
              <w:spacing w:after="0"/>
              <w:rPr>
                <w:sz w:val="16"/>
                <w:szCs w:val="16"/>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Proposed</w:t>
            </w:r>
          </w:p>
        </w:tc>
        <w:tc>
          <w:tcPr>
            <w:tcW w:w="1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165"/>
        </w:trPr>
        <w:tc>
          <w:tcPr>
            <w:tcW w:w="1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Carry</w:t>
            </w:r>
          </w:p>
        </w:tc>
        <w:tc>
          <w:tcPr>
            <w:tcW w:w="7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Carry</w:t>
            </w:r>
          </w:p>
        </w:tc>
        <w:tc>
          <w:tcPr>
            <w:tcW w:w="720" w:type="dxa"/>
            <w:vAlign w:val="bottom"/>
            <w:vMerge w:val="continue"/>
          </w:tcPr>
          <w:p>
            <w:pPr>
              <w:spacing w:after="0"/>
              <w:rPr>
                <w:sz w:val="14"/>
                <w:szCs w:val="14"/>
                <w:color w:val="auto"/>
              </w:rPr>
            </w:pPr>
          </w:p>
        </w:tc>
        <w:tc>
          <w:tcPr>
            <w:tcW w:w="9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185"/>
        </w:trPr>
        <w:tc>
          <w:tcPr>
            <w:tcW w:w="1840" w:type="dxa"/>
            <w:vAlign w:val="bottom"/>
          </w:tcPr>
          <w:p>
            <w:pPr>
              <w:jc w:val="center"/>
              <w:ind w:left="898"/>
              <w:spacing w:after="0"/>
              <w:rPr>
                <w:sz w:val="20"/>
                <w:szCs w:val="20"/>
                <w:color w:val="auto"/>
              </w:rPr>
            </w:pPr>
            <w:r>
              <w:rPr>
                <w:rFonts w:ascii="Arial" w:cs="Arial" w:eastAsia="Arial" w:hAnsi="Arial"/>
                <w:sz w:val="16"/>
                <w:szCs w:val="16"/>
                <w:b w:val="1"/>
                <w:bCs w:val="1"/>
                <w:color w:val="auto"/>
              </w:rPr>
              <w:t>Security</w:t>
            </w: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Security Calculation</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Amount</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Maximum</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Maximum</w:t>
            </w:r>
          </w:p>
        </w:tc>
        <w:tc>
          <w:tcPr>
            <w:tcW w:w="1820" w:type="dxa"/>
            <w:vAlign w:val="bottom"/>
          </w:tcPr>
          <w:p>
            <w:pPr>
              <w:jc w:val="center"/>
              <w:ind w:left="718"/>
              <w:spacing w:after="0"/>
              <w:rPr>
                <w:sz w:val="20"/>
                <w:szCs w:val="20"/>
                <w:color w:val="auto"/>
              </w:rPr>
            </w:pPr>
            <w:r>
              <w:rPr>
                <w:rFonts w:ascii="Arial" w:cs="Arial" w:eastAsia="Arial" w:hAnsi="Arial"/>
                <w:sz w:val="16"/>
                <w:szCs w:val="16"/>
                <w:b w:val="1"/>
                <w:bCs w:val="1"/>
                <w:color w:val="auto"/>
              </w:rPr>
              <w:t>Amount of</w:t>
            </w: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Forward Forward</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Forward</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85"/>
        </w:trPr>
        <w:tc>
          <w:tcPr>
            <w:tcW w:w="1840" w:type="dxa"/>
            <w:vAlign w:val="bottom"/>
          </w:tcPr>
          <w:p>
            <w:pPr>
              <w:jc w:val="center"/>
              <w:ind w:left="898"/>
              <w:spacing w:after="0"/>
              <w:rPr>
                <w:sz w:val="20"/>
                <w:szCs w:val="20"/>
                <w:color w:val="auto"/>
              </w:rPr>
            </w:pPr>
            <w:r>
              <w:rPr>
                <w:rFonts w:ascii="Arial" w:cs="Arial" w:eastAsia="Arial" w:hAnsi="Arial"/>
                <w:sz w:val="16"/>
                <w:szCs w:val="16"/>
                <w:b w:val="1"/>
                <w:bCs w:val="1"/>
                <w:color w:val="auto"/>
              </w:rPr>
              <w:t>Type</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Class</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or Carry</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Registered</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Offering</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Aggregate</w:t>
            </w:r>
          </w:p>
        </w:tc>
        <w:tc>
          <w:tcPr>
            <w:tcW w:w="1820" w:type="dxa"/>
            <w:vAlign w:val="bottom"/>
          </w:tcPr>
          <w:p>
            <w:pPr>
              <w:ind w:left="60"/>
              <w:spacing w:after="0"/>
              <w:rPr>
                <w:sz w:val="20"/>
                <w:szCs w:val="20"/>
                <w:color w:val="auto"/>
              </w:rPr>
            </w:pPr>
            <w:r>
              <w:rPr>
                <w:rFonts w:ascii="Arial" w:cs="Arial" w:eastAsia="Arial" w:hAnsi="Arial"/>
                <w:sz w:val="16"/>
                <w:szCs w:val="16"/>
                <w:b w:val="1"/>
                <w:bCs w:val="1"/>
                <w:color w:val="auto"/>
              </w:rPr>
              <w:t>Fee Rate Registration</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Form</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File</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Initial</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Title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Forward</w:t>
            </w:r>
          </w:p>
        </w:tc>
        <w:tc>
          <w:tcPr>
            <w:tcW w:w="8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Price Per</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Offering Price</w:t>
            </w:r>
          </w:p>
        </w:tc>
        <w:tc>
          <w:tcPr>
            <w:tcW w:w="1820" w:type="dxa"/>
            <w:vAlign w:val="bottom"/>
          </w:tcPr>
          <w:p>
            <w:pPr>
              <w:jc w:val="center"/>
              <w:ind w:left="738"/>
              <w:spacing w:after="0"/>
              <w:rPr>
                <w:sz w:val="20"/>
                <w:szCs w:val="20"/>
                <w:color w:val="auto"/>
              </w:rPr>
            </w:pPr>
            <w:r>
              <w:rPr>
                <w:rFonts w:ascii="Arial" w:cs="Arial" w:eastAsia="Arial" w:hAnsi="Arial"/>
                <w:sz w:val="16"/>
                <w:szCs w:val="16"/>
                <w:b w:val="1"/>
                <w:bCs w:val="1"/>
                <w:color w:val="auto"/>
              </w:rPr>
              <w:t>Fee</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Type</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Effective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36"/>
        </w:trPr>
        <w:tc>
          <w:tcPr>
            <w:tcW w:w="1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Rule</w:t>
            </w:r>
          </w:p>
        </w:tc>
        <w:tc>
          <w:tcPr>
            <w:tcW w:w="880" w:type="dxa"/>
            <w:vAlign w:val="bottom"/>
          </w:tcPr>
          <w:p>
            <w:pPr>
              <w:spacing w:after="0"/>
              <w:rPr>
                <w:sz w:val="3"/>
                <w:szCs w:val="3"/>
                <w:color w:val="auto"/>
              </w:rPr>
            </w:pPr>
          </w:p>
        </w:tc>
        <w:tc>
          <w:tcPr>
            <w:tcW w:w="82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Unit</w:t>
            </w:r>
          </w:p>
        </w:tc>
        <w:tc>
          <w:tcPr>
            <w:tcW w:w="11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Date</w:t>
            </w: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-845820</wp:posOffset>
            </wp:positionV>
            <wp:extent cx="7215505" cy="51130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5">
                      <a:extLst>
                        <a:ext uri="{28A0092B-C50C-407E-A947-70E740481C1C}"/>
                      </a:extLst>
                    </a:blip>
                    <a:srcRect/>
                    <a:stretch>
                      <a:fillRect/>
                    </a:stretch>
                  </pic:blipFill>
                  <pic:spPr bwMode="auto">
                    <a:xfrm>
                      <a:off x="0" y="0"/>
                      <a:ext cx="7215505" cy="5113020"/>
                    </a:xfrm>
                    <a:prstGeom prst="rect">
                      <a:avLst/>
                    </a:prstGeom>
                    <a:noFill/>
                  </pic:spPr>
                </pic:pic>
              </a:graphicData>
            </a:graphic>
          </wp:anchor>
        </w:drawing>
      </w:r>
    </w:p>
    <w:p>
      <w:pPr>
        <w:jc w:val="center"/>
        <w:ind w:left="10460"/>
        <w:spacing w:after="0"/>
        <w:rPr>
          <w:sz w:val="20"/>
          <w:szCs w:val="20"/>
          <w:color w:val="auto"/>
        </w:rPr>
      </w:pPr>
      <w:r>
        <w:rPr>
          <w:rFonts w:ascii="Arial" w:cs="Arial" w:eastAsia="Arial" w:hAnsi="Arial"/>
          <w:sz w:val="16"/>
          <w:szCs w:val="16"/>
          <w:b w:val="1"/>
          <w:bCs w:val="1"/>
          <w:color w:val="auto"/>
        </w:rPr>
        <w:t>to be</w:t>
      </w:r>
    </w:p>
    <w:p>
      <w:pPr>
        <w:spacing w:after="0" w:line="1" w:lineRule="exact"/>
        <w:rPr>
          <w:sz w:val="20"/>
          <w:szCs w:val="20"/>
          <w:color w:val="auto"/>
        </w:rPr>
      </w:pPr>
    </w:p>
    <w:p>
      <w:pPr>
        <w:jc w:val="center"/>
        <w:ind w:left="10460"/>
        <w:spacing w:after="0"/>
        <w:rPr>
          <w:sz w:val="20"/>
          <w:szCs w:val="20"/>
          <w:color w:val="auto"/>
        </w:rPr>
      </w:pPr>
      <w:r>
        <w:rPr>
          <w:rFonts w:ascii="Arial" w:cs="Arial" w:eastAsia="Arial" w:hAnsi="Arial"/>
          <w:sz w:val="16"/>
          <w:szCs w:val="16"/>
          <w:b w:val="1"/>
          <w:bCs w:val="1"/>
          <w:color w:val="auto"/>
        </w:rPr>
        <w:t>Carried</w:t>
      </w:r>
    </w:p>
    <w:p>
      <w:pPr>
        <w:spacing w:after="0" w:line="1" w:lineRule="exact"/>
        <w:rPr>
          <w:sz w:val="20"/>
          <w:szCs w:val="20"/>
          <w:color w:val="auto"/>
        </w:rPr>
      </w:pPr>
    </w:p>
    <w:p>
      <w:pPr>
        <w:jc w:val="center"/>
        <w:ind w:left="10460"/>
        <w:spacing w:after="0"/>
        <w:rPr>
          <w:sz w:val="20"/>
          <w:szCs w:val="20"/>
          <w:color w:val="auto"/>
        </w:rPr>
      </w:pPr>
      <w:r>
        <w:rPr>
          <w:rFonts w:ascii="Arial" w:cs="Arial" w:eastAsia="Arial" w:hAnsi="Arial"/>
          <w:sz w:val="16"/>
          <w:szCs w:val="16"/>
          <w:b w:val="1"/>
          <w:bCs w:val="1"/>
          <w:color w:val="auto"/>
        </w:rPr>
        <w:t>Forward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Newly Registered Securities</w:t>
      </w:r>
    </w:p>
    <w:p>
      <w:pPr>
        <w:spacing w:after="0" w:line="4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Common</w:t>
      </w:r>
    </w:p>
    <w:p>
      <w:pPr>
        <w:spacing w:after="0" w:line="17"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Stock,</w:t>
      </w:r>
    </w:p>
    <w:p>
      <w:pPr>
        <w:spacing w:after="0" w:line="1" w:lineRule="exact"/>
        <w:rPr>
          <w:sz w:val="20"/>
          <w:szCs w:val="20"/>
          <w:color w:val="auto"/>
        </w:rPr>
      </w:pPr>
    </w:p>
    <w:p>
      <w:pPr>
        <w:ind w:left="1180"/>
        <w:spacing w:after="0"/>
        <w:tabs>
          <w:tab w:leader="none" w:pos="1860" w:val="left"/>
          <w:tab w:leader="none" w:pos="2840" w:val="left"/>
        </w:tabs>
        <w:rPr>
          <w:sz w:val="20"/>
          <w:szCs w:val="20"/>
          <w:color w:val="auto"/>
        </w:rPr>
      </w:pPr>
      <w:r>
        <w:rPr>
          <w:rFonts w:ascii="Arial" w:cs="Arial" w:eastAsia="Arial" w:hAnsi="Arial"/>
          <w:sz w:val="16"/>
          <w:szCs w:val="16"/>
          <w:color w:val="auto"/>
        </w:rPr>
        <w:t>Equity</w:t>
        <w:tab/>
        <w:t>$0.0001</w:t>
      </w:r>
      <w:r>
        <w:rPr>
          <w:sz w:val="20"/>
          <w:szCs w:val="20"/>
          <w:color w:val="auto"/>
        </w:rPr>
        <w:tab/>
      </w:r>
      <w:r>
        <w:rPr>
          <w:rFonts w:ascii="Arial" w:cs="Arial" w:eastAsia="Arial" w:hAnsi="Arial"/>
          <w:sz w:val="16"/>
          <w:szCs w:val="16"/>
          <w:color w:val="auto"/>
        </w:rPr>
        <w:t>457(o)</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par value</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per share</w:t>
      </w:r>
    </w:p>
    <w:p>
      <w:pPr>
        <w:spacing w:after="0" w:line="26"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Preferred</w:t>
      </w:r>
    </w:p>
    <w:p>
      <w:pPr>
        <w:spacing w:after="0" w:line="17"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Stock,</w:t>
      </w:r>
    </w:p>
    <w:p>
      <w:pPr>
        <w:spacing w:after="0" w:line="1" w:lineRule="exact"/>
        <w:rPr>
          <w:sz w:val="20"/>
          <w:szCs w:val="20"/>
          <w:color w:val="auto"/>
        </w:rPr>
      </w:pPr>
    </w:p>
    <w:p>
      <w:pPr>
        <w:ind w:left="1180"/>
        <w:spacing w:after="0"/>
        <w:tabs>
          <w:tab w:leader="none" w:pos="1860" w:val="left"/>
          <w:tab w:leader="none" w:pos="2840" w:val="left"/>
        </w:tabs>
        <w:rPr>
          <w:sz w:val="20"/>
          <w:szCs w:val="20"/>
          <w:color w:val="auto"/>
        </w:rPr>
      </w:pPr>
      <w:r>
        <w:rPr>
          <w:rFonts w:ascii="Arial" w:cs="Arial" w:eastAsia="Arial" w:hAnsi="Arial"/>
          <w:sz w:val="16"/>
          <w:szCs w:val="16"/>
          <w:color w:val="auto"/>
        </w:rPr>
        <w:t>Equity</w:t>
        <w:tab/>
        <w:t>$0.0001</w:t>
      </w:r>
      <w:r>
        <w:rPr>
          <w:sz w:val="20"/>
          <w:szCs w:val="20"/>
          <w:color w:val="auto"/>
        </w:rPr>
        <w:tab/>
      </w:r>
      <w:r>
        <w:rPr>
          <w:rFonts w:ascii="Arial" w:cs="Arial" w:eastAsia="Arial" w:hAnsi="Arial"/>
          <w:sz w:val="16"/>
          <w:szCs w:val="16"/>
          <w:color w:val="auto"/>
        </w:rPr>
        <w:t>457(o)</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par value</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per share</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7"/>
                <w:szCs w:val="17"/>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vMerge w:val="continue"/>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17"/>
                <w:szCs w:val="17"/>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vMerge w:val="continue"/>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ind w:left="20"/>
              <w:spacing w:after="0" w:line="174"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4"/>
                <w:szCs w:val="14"/>
                <w:color w:val="auto"/>
              </w:rPr>
            </w:pPr>
          </w:p>
        </w:tc>
        <w:tc>
          <w:tcPr>
            <w:tcW w:w="900" w:type="dxa"/>
            <w:vAlign w:val="bottom"/>
            <w:shd w:val="clear" w:color="auto" w:fill="E7E7E2"/>
          </w:tcPr>
          <w:p>
            <w:pPr>
              <w:ind w:left="20"/>
              <w:spacing w:after="0" w:line="165" w:lineRule="exact"/>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ind w:left="220"/>
              <w:spacing w:after="0" w:line="165" w:lineRule="exact"/>
              <w:rPr>
                <w:sz w:val="20"/>
                <w:szCs w:val="20"/>
                <w:color w:val="auto"/>
              </w:rPr>
            </w:pPr>
            <w:r>
              <w:rPr>
                <w:rFonts w:ascii="Arial" w:cs="Arial" w:eastAsia="Arial" w:hAnsi="Arial"/>
                <w:sz w:val="16"/>
                <w:szCs w:val="16"/>
                <w:color w:val="auto"/>
              </w:rPr>
              <w:t>457(o)</w:t>
            </w: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4"/>
                <w:szCs w:val="14"/>
                <w:color w:val="auto"/>
              </w:rPr>
            </w:pPr>
          </w:p>
        </w:tc>
        <w:tc>
          <w:tcPr>
            <w:tcW w:w="100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rPr>
              <w:t>$ 41,430.00</w:t>
            </w:r>
          </w:p>
        </w:tc>
        <w:tc>
          <w:tcPr>
            <w:tcW w:w="0" w:type="dxa"/>
            <w:vAlign w:val="bottom"/>
          </w:tcPr>
          <w:p>
            <w:pPr>
              <w:spacing w:after="0"/>
              <w:rPr>
                <w:sz w:val="1"/>
                <w:szCs w:val="1"/>
                <w:color w:val="auto"/>
              </w:rPr>
            </w:pPr>
          </w:p>
        </w:tc>
      </w:tr>
      <w:tr>
        <w:trPr>
          <w:trHeight w:val="216"/>
        </w:trPr>
        <w:tc>
          <w:tcPr>
            <w:tcW w:w="780" w:type="dxa"/>
            <w:vAlign w:val="bottom"/>
            <w:tcBorders>
              <w:bottom w:val="single" w:sz="8" w:color="E7E7E2"/>
            </w:tcBorders>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8"/>
                <w:szCs w:val="18"/>
                <w:color w:val="auto"/>
              </w:rPr>
            </w:pPr>
          </w:p>
        </w:tc>
        <w:tc>
          <w:tcPr>
            <w:tcW w:w="10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bottom w:val="single" w:sz="8" w:color="E7E7E2"/>
            </w:tcBorders>
            <w:shd w:val="clear" w:color="auto" w:fill="E7E7E2"/>
          </w:tcPr>
          <w:p>
            <w:pPr>
              <w:ind w:left="20"/>
              <w:spacing w:after="0"/>
              <w:rPr>
                <w:sz w:val="20"/>
                <w:szCs w:val="20"/>
                <w:color w:val="auto"/>
              </w:rPr>
            </w:pPr>
            <w:r>
              <w:rPr>
                <w:rFonts w:ascii="Arial" w:cs="Arial" w:eastAsia="Arial" w:hAnsi="Arial"/>
                <w:sz w:val="16"/>
                <w:szCs w:val="16"/>
                <w:color w:val="auto"/>
              </w:rPr>
              <w:t>Shelf</w:t>
            </w:r>
          </w:p>
        </w:tc>
        <w:tc>
          <w:tcPr>
            <w:tcW w:w="20" w:type="dxa"/>
            <w:vAlign w:val="bottom"/>
          </w:tcPr>
          <w:p>
            <w:pPr>
              <w:spacing w:after="0"/>
              <w:rPr>
                <w:sz w:val="18"/>
                <w:szCs w:val="18"/>
                <w:color w:val="auto"/>
              </w:rPr>
            </w:pPr>
          </w:p>
        </w:tc>
        <w:tc>
          <w:tcPr>
            <w:tcW w:w="74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Borders>
              <w:bottom w:val="single" w:sz="8" w:color="E7E7E2"/>
            </w:tcBorders>
            <w:shd w:val="clear" w:color="auto" w:fill="E7E7E2"/>
          </w:tcPr>
          <w:p>
            <w:pPr>
              <w:jc w:val="right"/>
              <w:spacing w:after="0"/>
              <w:rPr>
                <w:sz w:val="20"/>
                <w:szCs w:val="20"/>
                <w:color w:val="auto"/>
              </w:rPr>
            </w:pPr>
            <w:r>
              <w:rPr>
                <w:rFonts w:ascii="Arial" w:cs="Arial" w:eastAsia="Arial" w:hAnsi="Arial"/>
                <w:sz w:val="16"/>
                <w:szCs w:val="16"/>
                <w:color w:val="auto"/>
              </w:rPr>
              <w:t>300,000,000.00</w:t>
            </w:r>
          </w:p>
        </w:tc>
        <w:tc>
          <w:tcPr>
            <w:tcW w:w="20" w:type="dxa"/>
            <w:vAlign w:val="bottom"/>
          </w:tcPr>
          <w:p>
            <w:pPr>
              <w:spacing w:after="0"/>
              <w:rPr>
                <w:sz w:val="18"/>
                <w:szCs w:val="18"/>
                <w:color w:val="auto"/>
              </w:rPr>
            </w:pPr>
          </w:p>
        </w:tc>
        <w:tc>
          <w:tcPr>
            <w:tcW w:w="80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bottom w:val="single" w:sz="8" w:color="E7E7E2"/>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5"/>
          </w:tcPr>
          <w:p>
            <w:pPr>
              <w:jc w:val="right"/>
              <w:ind w:right="518"/>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780" w:type="dxa"/>
            <w:vAlign w:val="bottom"/>
            <w:shd w:val="clear" w:color="auto" w:fill="E7E7E2"/>
          </w:tcPr>
          <w:p>
            <w:pPr>
              <w:spacing w:after="0" w:line="180"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6"/>
                <w:szCs w:val="16"/>
                <w:color w:val="auto"/>
              </w:rPr>
              <w:t>Total Offering Amounts:</w:t>
            </w:r>
          </w:p>
        </w:tc>
        <w:tc>
          <w:tcPr>
            <w:tcW w:w="198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$ 41,430.00</w:t>
            </w: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80" w:type="dxa"/>
            <w:vAlign w:val="bottom"/>
            <w:gridSpan w:val="4"/>
          </w:tcPr>
          <w:p>
            <w:pPr>
              <w:jc w:val="right"/>
              <w:spacing w:after="0"/>
              <w:rPr>
                <w:sz w:val="20"/>
                <w:szCs w:val="20"/>
                <w:color w:val="auto"/>
              </w:rPr>
            </w:pPr>
            <w:r>
              <w:rPr>
                <w:rFonts w:ascii="Arial" w:cs="Arial" w:eastAsia="Arial" w:hAnsi="Arial"/>
                <w:sz w:val="16"/>
                <w:szCs w:val="16"/>
                <w:color w:val="auto"/>
              </w:rPr>
              <w:t>300,000,000.00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80" w:type="dxa"/>
            <w:vAlign w:val="bottom"/>
            <w:gridSpan w:val="5"/>
          </w:tcPr>
          <w:p>
            <w:pPr>
              <w:jc w:val="right"/>
              <w:ind w:right="20"/>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0" w:type="dxa"/>
            <w:vAlign w:val="bottom"/>
          </w:tcPr>
          <w:p>
            <w:pPr>
              <w:spacing w:after="0"/>
              <w:rPr>
                <w:sz w:val="1"/>
                <w:szCs w:val="1"/>
                <w:color w:val="auto"/>
              </w:rPr>
            </w:pPr>
          </w:p>
        </w:tc>
      </w:tr>
      <w:tr>
        <w:trPr>
          <w:trHeight w:val="226"/>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0" w:type="dxa"/>
            <w:vAlign w:val="bottom"/>
          </w:tcPr>
          <w:p>
            <w:pPr>
              <w:spacing w:after="0"/>
              <w:rPr>
                <w:sz w:val="1"/>
                <w:szCs w:val="1"/>
                <w:color w:val="auto"/>
              </w:rPr>
            </w:pPr>
          </w:p>
        </w:tc>
      </w:tr>
      <w:tr>
        <w:trPr>
          <w:trHeight w:val="226"/>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6"/>
                <w:szCs w:val="16"/>
                <w:color w:val="auto"/>
              </w:rPr>
              <w:t>Net Fee Due:</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$ 41,430.00</w:t>
            </w: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13" w:lineRule="exact"/>
        <w:rPr>
          <w:sz w:val="20"/>
          <w:szCs w:val="20"/>
          <w:color w:val="auto"/>
        </w:rPr>
      </w:pPr>
    </w:p>
    <w:p>
      <w:pPr>
        <w:ind w:left="200" w:right="100" w:hanging="167"/>
        <w:spacing w:after="0" w:line="238" w:lineRule="auto"/>
        <w:tabs>
          <w:tab w:leader="none" w:pos="200" w:val="left"/>
        </w:tabs>
        <w:numPr>
          <w:ilvl w:val="0"/>
          <w:numId w:val="129"/>
        </w:numPr>
        <w:rPr>
          <w:rFonts w:ascii="Arial" w:cs="Arial" w:eastAsia="Arial" w:hAnsi="Arial"/>
          <w:sz w:val="21"/>
          <w:szCs w:val="21"/>
          <w:color w:val="auto"/>
          <w:vertAlign w:val="superscript"/>
        </w:rPr>
      </w:pPr>
      <w:r>
        <w:rPr>
          <w:rFonts w:ascii="Arial" w:cs="Arial" w:eastAsia="Arial" w:hAnsi="Arial"/>
          <w:sz w:val="16"/>
          <w:szCs w:val="16"/>
          <w:color w:val="auto"/>
        </w:rPr>
        <w:t>The amount to be registered consists of up to $300,000,000 of an indeterminate amount of common stock, preferred stock, debt securities, warrants and/or units. There is also being registered hereunder such currently indeterminate number of (i) shares of common stock or other securities of the registrant as may be issued upon conversion of, or in exchange for, convertible or exchangeable debt securities and/or preferred stock registered hereby, or (ii) shares of debt securities, common stock, preferred stock or units as may be issued upon exercise of warrants registered hereby, as the case may be, including under any applicable antidilution provisions. Any securities registered hereunder may be sold separately or together with other securities registered hereunder. Pursuant to Rule 416 under the Securities Act of 1933, as amended, or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The proposed maximum offering price per security will be determined from time to time by the registrant in connection with the issuance by the registrant of the securities registered hereunder and is not specified as to each class of security pursuant to General Instruction II.D. of Form S-3 under the Securities Act. The registration fee has been calculated in accordance with Rule 457(o) under the Securities Act. Estimated solely for the purpose of calculating the registration fee. The aggregate maximum offering price of all securities issued by the registrant pursuant to this registration statement will not exceed $300,000,000. Warrants may be sold separately or together with any of the securities registered hereby and may be exercisable for shares of common stock, preferred stock, debt securities, or units registered hereby. Because the warrants will provide a right only to purchase such securities offered hereunder, no additional registration fee is required. Each unit will be issued under a unit agreement and will represent an interest in two or more securities registered pursuant to this registration statement, which may or may not be separable from one another. Because the units will provide a right only to purchase such securities offered hereunder, no additional registration fee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137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6">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Table 2: Fee Offset Claims and Sources</w:t>
            </w:r>
          </w:p>
        </w:tc>
        <w:tc>
          <w:tcPr>
            <w:tcW w:w="6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2"/>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3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Unsold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Security</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Security</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Unsold</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Aggregate</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Fee</w:t>
            </w:r>
          </w:p>
        </w:tc>
        <w:tc>
          <w:tcPr>
            <w:tcW w:w="0" w:type="dxa"/>
            <w:vAlign w:val="bottom"/>
          </w:tcPr>
          <w:p>
            <w:pPr>
              <w:spacing w:after="0"/>
              <w:rPr>
                <w:sz w:val="1"/>
                <w:szCs w:val="1"/>
                <w:color w:val="auto"/>
              </w:rPr>
            </w:pPr>
          </w:p>
        </w:tc>
      </w:tr>
      <w:tr>
        <w:trPr>
          <w:trHeight w:val="185"/>
        </w:trPr>
        <w:tc>
          <w:tcPr>
            <w:tcW w:w="342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99"/>
              </w:rPr>
              <w:t>Form</w:t>
            </w:r>
          </w:p>
        </w:tc>
        <w:tc>
          <w:tcPr>
            <w:tcW w:w="800" w:type="dxa"/>
            <w:vAlign w:val="bottom"/>
          </w:tcPr>
          <w:p>
            <w:pPr>
              <w:spacing w:after="0"/>
              <w:rPr>
                <w:sz w:val="16"/>
                <w:szCs w:val="16"/>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Initial</w:t>
            </w:r>
          </w:p>
        </w:tc>
        <w:tc>
          <w:tcPr>
            <w:tcW w:w="60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Fee</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Type</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7"/>
              </w:rPr>
              <w:t>Title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Securities</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Offering</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Paid</w:t>
            </w:r>
          </w:p>
        </w:tc>
        <w:tc>
          <w:tcPr>
            <w:tcW w:w="0" w:type="dxa"/>
            <w:vAlign w:val="bottom"/>
          </w:tcPr>
          <w:p>
            <w:pPr>
              <w:spacing w:after="0"/>
              <w:rPr>
                <w:sz w:val="1"/>
                <w:szCs w:val="1"/>
                <w:color w:val="auto"/>
              </w:rPr>
            </w:pPr>
          </w:p>
        </w:tc>
      </w:tr>
      <w:tr>
        <w:trPr>
          <w:trHeight w:val="92"/>
        </w:trPr>
        <w:tc>
          <w:tcPr>
            <w:tcW w:w="3420" w:type="dxa"/>
            <w:vAlign w:val="bottom"/>
            <w:vMerge w:val="restart"/>
          </w:tcPr>
          <w:p>
            <w:pPr>
              <w:jc w:val="center"/>
              <w:ind w:left="1718"/>
              <w:spacing w:after="0"/>
              <w:rPr>
                <w:sz w:val="20"/>
                <w:szCs w:val="20"/>
                <w:color w:val="auto"/>
              </w:rPr>
            </w:pPr>
            <w:r>
              <w:rPr>
                <w:rFonts w:ascii="Arial" w:cs="Arial" w:eastAsia="Arial" w:hAnsi="Arial"/>
                <w:sz w:val="16"/>
                <w:szCs w:val="16"/>
                <w:b w:val="1"/>
                <w:bCs w:val="1"/>
                <w:color w:val="auto"/>
              </w:rPr>
              <w:t>Registrant or Filer</w:t>
            </w:r>
          </w:p>
        </w:tc>
        <w:tc>
          <w:tcPr>
            <w:tcW w:w="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or</w:t>
            </w: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File</w:t>
            </w:r>
          </w:p>
        </w:tc>
        <w:tc>
          <w:tcPr>
            <w:tcW w:w="640" w:type="dxa"/>
            <w:vAlign w:val="bottom"/>
            <w:vMerge w:val="continue"/>
          </w:tcPr>
          <w:p>
            <w:pPr>
              <w:spacing w:after="0"/>
              <w:rPr>
                <w:sz w:val="8"/>
                <w:szCs w:val="8"/>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Filing</w:t>
            </w:r>
          </w:p>
        </w:tc>
        <w:tc>
          <w:tcPr>
            <w:tcW w:w="740" w:type="dxa"/>
            <w:vAlign w:val="bottom"/>
            <w:vMerge w:val="continue"/>
          </w:tcPr>
          <w:p>
            <w:pPr>
              <w:spacing w:after="0"/>
              <w:rPr>
                <w:sz w:val="8"/>
                <w:szCs w:val="8"/>
                <w:color w:val="auto"/>
              </w:rPr>
            </w:pPr>
          </w:p>
        </w:tc>
        <w:tc>
          <w:tcPr>
            <w:tcW w:w="27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Associated Associated Associated</w:t>
            </w: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Amount</w:t>
            </w:r>
          </w:p>
        </w:tc>
        <w:tc>
          <w:tcPr>
            <w:tcW w:w="7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165"/>
        </w:trPr>
        <w:tc>
          <w:tcPr>
            <w:tcW w:w="34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Filing</w:t>
            </w:r>
          </w:p>
        </w:tc>
        <w:tc>
          <w:tcPr>
            <w:tcW w:w="600" w:type="dxa"/>
            <w:vAlign w:val="bottom"/>
            <w:vMerge w:val="continue"/>
          </w:tcPr>
          <w:p>
            <w:pPr>
              <w:spacing w:after="0"/>
              <w:rPr>
                <w:sz w:val="14"/>
                <w:szCs w:val="14"/>
                <w:color w:val="auto"/>
              </w:rPr>
            </w:pPr>
          </w:p>
        </w:tc>
        <w:tc>
          <w:tcPr>
            <w:tcW w:w="7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w w:val="99"/>
              </w:rPr>
              <w:t>Offset</w:t>
            </w:r>
          </w:p>
        </w:tc>
        <w:tc>
          <w:tcPr>
            <w:tcW w:w="2780" w:type="dxa"/>
            <w:vAlign w:val="bottom"/>
            <w:gridSpan w:val="3"/>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20" w:type="dxa"/>
            <w:vAlign w:val="bottom"/>
          </w:tcPr>
          <w:p>
            <w:pPr>
              <w:jc w:val="center"/>
              <w:ind w:left="1718"/>
              <w:spacing w:after="0"/>
              <w:rPr>
                <w:sz w:val="20"/>
                <w:szCs w:val="20"/>
                <w:color w:val="auto"/>
              </w:rPr>
            </w:pPr>
            <w:r>
              <w:rPr>
                <w:rFonts w:ascii="Arial" w:cs="Arial" w:eastAsia="Arial" w:hAnsi="Arial"/>
                <w:sz w:val="16"/>
                <w:szCs w:val="16"/>
                <w:b w:val="1"/>
                <w:bCs w:val="1"/>
                <w:color w:val="auto"/>
              </w:rPr>
              <w:t>Name</w:t>
            </w: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rPr>
              <w:t>Filing</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Date</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with Fee</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with Fee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Associated</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Fee</w:t>
            </w:r>
          </w:p>
        </w:tc>
        <w:tc>
          <w:tcPr>
            <w:tcW w:w="0" w:type="dxa"/>
            <w:vAlign w:val="bottom"/>
          </w:tcPr>
          <w:p>
            <w:pPr>
              <w:spacing w:after="0"/>
              <w:rPr>
                <w:sz w:val="1"/>
                <w:szCs w:val="1"/>
                <w:color w:val="auto"/>
              </w:rPr>
            </w:pPr>
          </w:p>
        </w:tc>
      </w:tr>
      <w:tr>
        <w:trPr>
          <w:trHeight w:val="112"/>
        </w:trPr>
        <w:tc>
          <w:tcPr>
            <w:tcW w:w="3420" w:type="dxa"/>
            <w:vAlign w:val="bottom"/>
          </w:tcPr>
          <w:p>
            <w:pPr>
              <w:spacing w:after="0"/>
              <w:rPr>
                <w:sz w:val="9"/>
                <w:szCs w:val="9"/>
                <w:color w:val="auto"/>
              </w:rPr>
            </w:pPr>
          </w:p>
        </w:tc>
        <w:tc>
          <w:tcPr>
            <w:tcW w:w="62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Type</w:t>
            </w: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2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88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98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98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with Fee</w:t>
            </w:r>
          </w:p>
        </w:tc>
        <w:tc>
          <w:tcPr>
            <w:tcW w:w="72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0" w:type="dxa"/>
            <w:vAlign w:val="bottom"/>
          </w:tcPr>
          <w:p>
            <w:pPr>
              <w:spacing w:after="0"/>
              <w:rPr>
                <w:sz w:val="1"/>
                <w:szCs w:val="1"/>
                <w:color w:val="auto"/>
              </w:rPr>
            </w:pPr>
          </w:p>
        </w:tc>
      </w:tr>
      <w:tr>
        <w:trPr>
          <w:trHeight w:val="201"/>
        </w:trPr>
        <w:tc>
          <w:tcPr>
            <w:tcW w:w="3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Claimed</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Claimed</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Claimed</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Offset</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9"/>
              </w:rPr>
              <w:t>Source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-845820</wp:posOffset>
            </wp:positionV>
            <wp:extent cx="7171690" cy="16205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7">
                      <a:extLst>
                        <a:ext uri="{28A0092B-C50C-407E-A947-70E740481C1C}"/>
                      </a:extLst>
                    </a:blip>
                    <a:srcRect/>
                    <a:stretch>
                      <a:fillRect/>
                    </a:stretch>
                  </pic:blipFill>
                  <pic:spPr bwMode="auto">
                    <a:xfrm>
                      <a:off x="0" y="0"/>
                      <a:ext cx="7171690" cy="1620520"/>
                    </a:xfrm>
                    <a:prstGeom prst="rect">
                      <a:avLst/>
                    </a:prstGeom>
                    <a:noFill/>
                  </pic:spPr>
                </pic:pic>
              </a:graphicData>
            </a:graphic>
          </wp:anchor>
        </w:drawing>
      </w:r>
    </w:p>
    <w:p>
      <w:pPr>
        <w:ind w:left="9760"/>
        <w:spacing w:after="0"/>
        <w:rPr>
          <w:sz w:val="20"/>
          <w:szCs w:val="20"/>
          <w:color w:val="auto"/>
        </w:rPr>
      </w:pPr>
      <w:r>
        <w:rPr>
          <w:rFonts w:ascii="Arial" w:cs="Arial" w:eastAsia="Arial" w:hAnsi="Arial"/>
          <w:sz w:val="16"/>
          <w:szCs w:val="16"/>
          <w:b w:val="1"/>
          <w:bCs w:val="1"/>
          <w:color w:val="auto"/>
        </w:rPr>
        <w:t>Claimed</w:t>
      </w:r>
    </w:p>
    <w:p>
      <w:pPr>
        <w:spacing w:after="0" w:line="26"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Rules 457(b) and 0-11(a)(2)</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-109220</wp:posOffset>
            </wp:positionV>
            <wp:extent cx="7113270" cy="2476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8">
                      <a:extLst>
                        <a:ext uri="{28A0092B-C50C-407E-A947-70E740481C1C}"/>
                      </a:extLst>
                    </a:blip>
                    <a:srcRect/>
                    <a:stretch>
                      <a:fillRect/>
                    </a:stretch>
                  </pic:blipFill>
                  <pic:spPr bwMode="auto">
                    <a:xfrm>
                      <a:off x="0" y="0"/>
                      <a:ext cx="7113270" cy="2476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Claims</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-109220</wp:posOffset>
            </wp:positionV>
            <wp:extent cx="7113270" cy="2305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9">
                      <a:extLst>
                        <a:ext uri="{28A0092B-C50C-407E-A947-70E740481C1C}"/>
                      </a:extLst>
                    </a:blip>
                    <a:srcRect/>
                    <a:stretch>
                      <a:fillRect/>
                    </a:stretch>
                  </pic:blipFill>
                  <pic:spPr bwMode="auto">
                    <a:xfrm>
                      <a:off x="0" y="0"/>
                      <a:ext cx="7113270" cy="2305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Sources</w:t>
      </w:r>
    </w:p>
    <w:p>
      <w:pPr>
        <w:sectPr>
          <w:pgSz w:w="11900" w:h="16911" w:orient="portrait"/>
          <w:cols w:equalWidth="0" w:num="1">
            <w:col w:w="11360"/>
          </w:cols>
          <w:pgMar w:left="300" w:top="141" w:right="239" w:bottom="0" w:gutter="0" w:footer="0" w:header="0"/>
        </w:sectPr>
      </w:pPr>
    </w:p>
    <w:bookmarkStart w:id="150" w:name="page151"/>
    <w:bookmarkEnd w:id="150"/>
    <w:tbl>
      <w:tblPr>
        <w:tblLayout w:type="fixed"/>
        <w:tblInd w:w="10" w:type="dxa"/>
        <w:tblCellMar>
          <w:top w:w="0" w:type="dxa"/>
          <w:left w:w="0" w:type="dxa"/>
          <w:bottom w:w="0" w:type="dxa"/>
          <w:right w:w="0" w:type="dxa"/>
        </w:tblCellMar>
      </w:tblP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E7E7E2"/>
          </w:tcPr>
          <w:p>
            <w:pPr>
              <w:spacing w:after="0" w:line="20" w:lineRule="exact"/>
              <w:rPr>
                <w:sz w:val="1"/>
                <w:szCs w:val="1"/>
                <w:color w:val="auto"/>
              </w:rPr>
            </w:pPr>
          </w:p>
        </w:tc>
        <w:tc>
          <w:tcPr>
            <w:tcW w:w="20" w:type="dxa"/>
            <w:vAlign w:val="bottom"/>
            <w:shd w:val="clear" w:color="auto" w:fill="E7E7E2"/>
          </w:tcPr>
          <w:p>
            <w:pPr>
              <w:spacing w:after="0" w:line="20" w:lineRule="exact"/>
              <w:rPr>
                <w:sz w:val="1"/>
                <w:szCs w:val="1"/>
                <w:color w:val="auto"/>
              </w:rPr>
            </w:pPr>
          </w:p>
        </w:tc>
        <w:tc>
          <w:tcPr>
            <w:tcW w:w="5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E7E7E2"/>
          </w:tcPr>
          <w:p>
            <w:pPr>
              <w:spacing w:after="0" w:line="20" w:lineRule="exact"/>
              <w:rPr>
                <w:sz w:val="1"/>
                <w:szCs w:val="1"/>
                <w:color w:val="auto"/>
              </w:rPr>
            </w:pPr>
          </w:p>
        </w:tc>
        <w:tc>
          <w:tcPr>
            <w:tcW w:w="20" w:type="dxa"/>
            <w:vAlign w:val="bottom"/>
            <w:shd w:val="clear" w:color="auto" w:fill="E7E7E2"/>
          </w:tcPr>
          <w:p>
            <w:pPr>
              <w:spacing w:after="0" w:line="20" w:lineRule="exact"/>
              <w:rPr>
                <w:sz w:val="1"/>
                <w:szCs w:val="1"/>
                <w:color w:val="auto"/>
              </w:rPr>
            </w:pPr>
          </w:p>
        </w:tc>
        <w:tc>
          <w:tcPr>
            <w:tcW w:w="580" w:type="dxa"/>
            <w:vAlign w:val="bottom"/>
            <w:shd w:val="clear" w:color="auto" w:fill="E7E7E2"/>
          </w:tcPr>
          <w:p>
            <w:pPr>
              <w:spacing w:after="0" w:line="20" w:lineRule="exact"/>
              <w:rPr>
                <w:sz w:val="1"/>
                <w:szCs w:val="1"/>
                <w:color w:val="auto"/>
              </w:rPr>
            </w:pPr>
          </w:p>
        </w:tc>
        <w:tc>
          <w:tcPr>
            <w:tcW w:w="7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E7E7E2"/>
          </w:tcPr>
          <w:p>
            <w:pPr>
              <w:spacing w:after="0" w:line="20" w:lineRule="exact"/>
              <w:rPr>
                <w:sz w:val="1"/>
                <w:szCs w:val="1"/>
                <w:color w:val="auto"/>
              </w:rPr>
            </w:pPr>
          </w:p>
        </w:tc>
        <w:tc>
          <w:tcPr>
            <w:tcW w:w="60" w:type="dxa"/>
            <w:vAlign w:val="bottom"/>
            <w:tcBorders>
              <w:right w:val="single" w:sz="8" w:color="E7E7E2"/>
            </w:tcBorders>
          </w:tcPr>
          <w:p>
            <w:pPr>
              <w:spacing w:after="0" w:line="20" w:lineRule="exact"/>
              <w:rPr>
                <w:sz w:val="1"/>
                <w:szCs w:val="1"/>
                <w:color w:val="auto"/>
              </w:rPr>
            </w:pPr>
          </w:p>
        </w:tc>
        <w:tc>
          <w:tcPr>
            <w:tcW w:w="20" w:type="dxa"/>
            <w:vAlign w:val="bottom"/>
            <w:shd w:val="clear" w:color="auto" w:fill="E7E7E2"/>
          </w:tcPr>
          <w:p>
            <w:pPr>
              <w:spacing w:after="0" w:line="20" w:lineRule="exact"/>
              <w:rPr>
                <w:sz w:val="1"/>
                <w:szCs w:val="1"/>
                <w:color w:val="auto"/>
              </w:rPr>
            </w:pPr>
          </w:p>
        </w:tc>
        <w:tc>
          <w:tcPr>
            <w:tcW w:w="560" w:type="dxa"/>
            <w:vAlign w:val="bottom"/>
            <w:shd w:val="clear" w:color="auto" w:fill="E7E7E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E7E7E2"/>
          </w:tcPr>
          <w:p>
            <w:pPr>
              <w:spacing w:after="0" w:line="20" w:lineRule="exact"/>
              <w:rPr>
                <w:sz w:val="1"/>
                <w:szCs w:val="1"/>
                <w:color w:val="auto"/>
              </w:rPr>
            </w:pPr>
          </w:p>
        </w:tc>
        <w:tc>
          <w:tcPr>
            <w:tcW w:w="20" w:type="dxa"/>
            <w:vAlign w:val="bottom"/>
            <w:shd w:val="clear" w:color="auto" w:fill="E7E7E2"/>
          </w:tcPr>
          <w:p>
            <w:pPr>
              <w:spacing w:after="0" w:line="20" w:lineRule="exact"/>
              <w:rPr>
                <w:sz w:val="1"/>
                <w:szCs w:val="1"/>
                <w:color w:val="auto"/>
              </w:rPr>
            </w:pPr>
          </w:p>
        </w:tc>
        <w:tc>
          <w:tcPr>
            <w:tcW w:w="3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E7E7E2"/>
          </w:tcPr>
          <w:p>
            <w:pPr>
              <w:spacing w:after="0" w:line="20" w:lineRule="exact"/>
              <w:rPr>
                <w:sz w:val="1"/>
                <w:szCs w:val="1"/>
                <w:color w:val="auto"/>
              </w:rPr>
            </w:pPr>
          </w:p>
        </w:tc>
        <w:tc>
          <w:tcPr>
            <w:tcW w:w="20" w:type="dxa"/>
            <w:vAlign w:val="bottom"/>
            <w:shd w:val="clear" w:color="auto" w:fill="E7E7E2"/>
          </w:tcPr>
          <w:p>
            <w:pPr>
              <w:spacing w:after="0" w:line="20" w:lineRule="exact"/>
              <w:rPr>
                <w:sz w:val="1"/>
                <w:szCs w:val="1"/>
                <w:color w:val="auto"/>
              </w:rPr>
            </w:pPr>
          </w:p>
        </w:tc>
        <w:tc>
          <w:tcPr>
            <w:tcW w:w="120" w:type="dxa"/>
            <w:vAlign w:val="bottom"/>
            <w:shd w:val="clear" w:color="auto" w:fill="E7E7E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E7E7E2"/>
          </w:tcPr>
          <w:p>
            <w:pPr>
              <w:spacing w:after="0" w:line="20" w:lineRule="exact"/>
              <w:rPr>
                <w:sz w:val="1"/>
                <w:szCs w:val="1"/>
                <w:color w:val="auto"/>
              </w:rPr>
            </w:pPr>
          </w:p>
        </w:tc>
        <w:tc>
          <w:tcPr>
            <w:tcW w:w="20" w:type="dxa"/>
            <w:vAlign w:val="bottom"/>
            <w:shd w:val="clear" w:color="auto" w:fill="E7E7E2"/>
          </w:tcPr>
          <w:p>
            <w:pPr>
              <w:spacing w:after="0" w:line="20" w:lineRule="exact"/>
              <w:rPr>
                <w:sz w:val="1"/>
                <w:szCs w:val="1"/>
                <w:color w:val="auto"/>
              </w:rPr>
            </w:pPr>
          </w:p>
        </w:tc>
        <w:tc>
          <w:tcPr>
            <w:tcW w:w="36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E7E7E2"/>
          </w:tcPr>
          <w:p>
            <w:pPr>
              <w:spacing w:after="0" w:line="20" w:lineRule="exact"/>
              <w:rPr>
                <w:sz w:val="1"/>
                <w:szCs w:val="1"/>
                <w:color w:val="auto"/>
              </w:rPr>
            </w:pPr>
          </w:p>
        </w:tc>
        <w:tc>
          <w:tcPr>
            <w:tcW w:w="20" w:type="dxa"/>
            <w:vAlign w:val="bottom"/>
            <w:shd w:val="clear" w:color="auto" w:fill="E7E7E2"/>
          </w:tcPr>
          <w:p>
            <w:pPr>
              <w:spacing w:after="0" w:line="20" w:lineRule="exact"/>
              <w:rPr>
                <w:sz w:val="1"/>
                <w:szCs w:val="1"/>
                <w:color w:val="auto"/>
              </w:rPr>
            </w:pPr>
          </w:p>
        </w:tc>
        <w:tc>
          <w:tcPr>
            <w:tcW w:w="2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E7E7E2"/>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ind w:left="30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4"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266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3: Combined Prospectuses</w:t>
            </w: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3"/>
            <w:shd w:val="clear" w:color="auto" w:fill="9ADAF6"/>
          </w:tcPr>
          <w:p>
            <w:pPr>
              <w:ind w:left="36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60" w:type="dxa"/>
            <w:vAlign w:val="bottom"/>
            <w:vMerge w:val="restart"/>
            <w:shd w:val="clear" w:color="auto" w:fill="9ADAF6"/>
          </w:tcPr>
          <w:p>
            <w:pPr>
              <w:jc w:val="center"/>
              <w:ind w:right="138"/>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80" w:type="dxa"/>
            <w:vAlign w:val="bottom"/>
            <w:gridSpan w:val="3"/>
            <w:vMerge w:val="restart"/>
            <w:shd w:val="clear" w:color="auto" w:fill="9ADAF6"/>
          </w:tcPr>
          <w:p>
            <w:pPr>
              <w:jc w:val="center"/>
              <w:ind w:right="320"/>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jc w:val="center"/>
              <w:ind w:right="38"/>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rPr>
              <w:t>Security Type</w:t>
            </w: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2160" w:type="dxa"/>
            <w:vAlign w:val="bottom"/>
            <w:gridSpan w:val="5"/>
            <w:vMerge w:val="restart"/>
            <w:shd w:val="clear" w:color="auto" w:fill="9ADAF6"/>
          </w:tcPr>
          <w:p>
            <w:pPr>
              <w:ind w:left="60"/>
              <w:spacing w:after="0"/>
              <w:rPr>
                <w:sz w:val="20"/>
                <w:szCs w:val="20"/>
                <w:color w:val="auto"/>
              </w:rPr>
            </w:pPr>
            <w:r>
              <w:rPr>
                <w:rFonts w:ascii="Arial" w:cs="Arial" w:eastAsia="Arial" w:hAnsi="Arial"/>
                <w:sz w:val="16"/>
                <w:szCs w:val="16"/>
                <w:b w:val="1"/>
                <w:bCs w:val="1"/>
                <w:color w:val="auto"/>
              </w:rPr>
              <w:t>Security Class Title</w:t>
            </w: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8"/>
                <w:szCs w:val="8"/>
                <w:color w:val="auto"/>
              </w:rPr>
            </w:pPr>
          </w:p>
        </w:tc>
        <w:tc>
          <w:tcPr>
            <w:tcW w:w="8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2160" w:type="dxa"/>
            <w:vAlign w:val="bottom"/>
            <w:gridSpan w:val="5"/>
            <w:vMerge w:val="continue"/>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20" w:type="dxa"/>
            <w:vAlign w:val="bottom"/>
            <w:vMerge w:val="restart"/>
            <w:shd w:val="clear" w:color="auto" w:fill="9ADAF6"/>
          </w:tcPr>
          <w:p>
            <w:pPr>
              <w:jc w:val="center"/>
              <w:ind w:right="78"/>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3"/>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vMerge w:val="restart"/>
            <w:shd w:val="clear" w:color="auto" w:fill="9ADAF6"/>
          </w:tcPr>
          <w:p>
            <w:pPr>
              <w:jc w:val="center"/>
              <w:ind w:right="138"/>
              <w:spacing w:after="0"/>
              <w:rPr>
                <w:sz w:val="20"/>
                <w:szCs w:val="20"/>
                <w:color w:val="auto"/>
              </w:rPr>
            </w:pPr>
            <w:r>
              <w:rPr>
                <w:rFonts w:ascii="Arial" w:cs="Arial" w:eastAsia="Arial" w:hAnsi="Arial"/>
                <w:sz w:val="16"/>
                <w:szCs w:val="16"/>
                <w:b w:val="1"/>
                <w:bCs w:val="1"/>
                <w:color w:val="auto"/>
              </w:rPr>
              <w:t>Date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6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80" w:type="dxa"/>
            <w:vAlign w:val="bottom"/>
            <w:gridSpan w:val="3"/>
            <w:vMerge w:val="restart"/>
            <w:shd w:val="clear" w:color="auto" w:fill="9ADAF6"/>
          </w:tcPr>
          <w:p>
            <w:pPr>
              <w:jc w:val="center"/>
              <w:ind w:right="320"/>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6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6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1)"/>
      <w:numFmt w:val="lowerLetter"/>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
      <w:numFmt w:val="bullet"/>
      <w:start w:val="1"/>
    </w:lvl>
  </w:abstractNum>
  <w:abstractNum w:abstractNumId="6">
    <w:nsid w:val="5DB70AE5"/>
    <w:multiLevelType w:val="hybridMultilevel"/>
    <w:lvl w:ilvl="0">
      <w:lvlJc w:val="left"/>
      <w:lvlText w:val="•"/>
      <w:numFmt w:val="bullet"/>
      <w:start w:val="1"/>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
      <w:numFmt w:val="bullet"/>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1)"/>
      <w:numFmt w:val="decimal"/>
      <w:start w:val="1"/>
    </w:lvl>
    <w:lvl w:ilvl="1">
      <w:lvlJc w:val="left"/>
      <w:lvlText w:val="(%2)"/>
      <w:numFmt w:val="lowerRoman"/>
      <w:start w:val="1"/>
    </w:lvl>
  </w:abstractNum>
  <w:abstractNum w:abstractNumId="18">
    <w:nsid w:val="5DC79EA8"/>
    <w:multiLevelType w:val="hybridMultilevel"/>
    <w:lvl w:ilvl="0">
      <w:lvlJc w:val="left"/>
      <w:lvlText w:val="(%1)"/>
      <w:numFmt w:val="decimal"/>
      <w:start w:val="2"/>
    </w:lvl>
  </w:abstractNum>
  <w:abstractNum w:abstractNumId="19">
    <w:nsid w:val="540A471C"/>
    <w:multiLevelType w:val="hybridMultilevel"/>
    <w:lvl w:ilvl="0">
      <w:lvlJc w:val="left"/>
      <w:lvlText w:val="(%1)"/>
      <w:numFmt w:val="decimal"/>
      <w:start w:val="3"/>
    </w:lvl>
    <w:lvl w:ilvl="1">
      <w:lvlJc w:val="left"/>
      <w:lvlText w:val="(%2)"/>
      <w:numFmt w:val="lowerRoman"/>
      <w:start w:val="1"/>
    </w:lvl>
  </w:abstractNum>
  <w:abstractNum w:abstractNumId="20">
    <w:nsid w:val="7BD3EE7B"/>
    <w:multiLevelType w:val="hybridMultilevel"/>
    <w:lvl w:ilvl="0">
      <w:lvlJc w:val="left"/>
      <w:lvlText w:val="(%1)"/>
      <w:numFmt w:val="lowerLetter"/>
      <w:start w:val="2"/>
    </w:lvl>
  </w:abstractNum>
  <w:abstractNum w:abstractNumId="21">
    <w:nsid w:val="51D9C564"/>
    <w:multiLevelType w:val="hybridMultilevel"/>
    <w:lvl w:ilvl="0">
      <w:lvlJc w:val="left"/>
      <w:lvlText w:val="(%1)"/>
      <w:numFmt w:val="lowerLetter"/>
      <w:start w:val="4"/>
    </w:lvl>
  </w:abstractNum>
  <w:abstractNum w:abstractNumId="22">
    <w:nsid w:val="613EFDC5"/>
    <w:multiLevelType w:val="hybridMultilevel"/>
    <w:lvl w:ilvl="0">
      <w:lvlJc w:val="left"/>
      <w:lvlText w:val="(%1)"/>
      <w:numFmt w:val="decimal"/>
      <w:start w:val="1"/>
    </w:lvl>
  </w:abstractNum>
  <w:abstractNum w:abstractNumId="23">
    <w:nsid w:val="BF72B14"/>
    <w:multiLevelType w:val="hybridMultilevel"/>
    <w:lvl w:ilvl="0">
      <w:lvlJc w:val="left"/>
      <w:lvlText w:val="(%1)"/>
      <w:numFmt w:val="lowerLetter"/>
      <w:start w:val="5"/>
    </w:lvl>
  </w:abstractNum>
  <w:abstractNum w:abstractNumId="24">
    <w:nsid w:val="11447B73"/>
    <w:multiLevelType w:val="hybridMultilevel"/>
    <w:lvl w:ilvl="0">
      <w:lvlJc w:val="left"/>
      <w:lvlText w:val="1"/>
      <w:numFmt w:val="bullet"/>
      <w:start w:val="1"/>
    </w:lvl>
  </w:abstractNum>
  <w:abstractNum w:abstractNumId="25">
    <w:nsid w:val="42963E5A"/>
    <w:multiLevelType w:val="hybridMultilevel"/>
    <w:lvl w:ilvl="0">
      <w:lvlJc w:val="left"/>
      <w:lvlText w:val="(%1)"/>
      <w:numFmt w:val="lowerLetter"/>
      <w:start w:val="1"/>
    </w:lvl>
  </w:abstractNum>
  <w:abstractNum w:abstractNumId="26">
    <w:nsid w:val="A0382C5"/>
    <w:multiLevelType w:val="hybridMultilevel"/>
    <w:lvl w:ilvl="0">
      <w:lvlJc w:val="left"/>
      <w:lvlText w:val="(%1)"/>
      <w:numFmt w:val="lowerLetter"/>
      <w:start w:val="3"/>
    </w:lvl>
  </w:abstractNum>
  <w:abstractNum w:abstractNumId="27">
    <w:nsid w:val="8F2B15E"/>
    <w:multiLevelType w:val="hybridMultilevel"/>
    <w:lvl w:ilvl="0">
      <w:lvlJc w:val="left"/>
      <w:lvlText w:val="(%1)"/>
      <w:numFmt w:val="lowerLetter"/>
      <w:start w:val="1"/>
    </w:lvl>
    <w:lvl w:ilvl="1">
      <w:lvlJc w:val="left"/>
      <w:lvlText w:val="(%2)"/>
      <w:numFmt w:val="decimal"/>
      <w:start w:val="1"/>
    </w:lvl>
  </w:abstractNum>
  <w:abstractNum w:abstractNumId="28">
    <w:nsid w:val="1A32234B"/>
    <w:multiLevelType w:val="hybridMultilevel"/>
    <w:lvl w:ilvl="0">
      <w:lvlJc w:val="left"/>
      <w:lvlText w:val="(%1)"/>
      <w:numFmt w:val="decimal"/>
      <w:start w:val="4"/>
    </w:lvl>
  </w:abstractNum>
  <w:abstractNum w:abstractNumId="29">
    <w:nsid w:val="3B0FD379"/>
    <w:multiLevelType w:val="hybridMultilevel"/>
    <w:lvl w:ilvl="0">
      <w:lvlJc w:val="left"/>
      <w:lvlText w:val="(%1)"/>
      <w:numFmt w:val="decimal"/>
      <w:start w:val="14"/>
    </w:lvl>
  </w:abstractNum>
  <w:abstractNum w:abstractNumId="30">
    <w:nsid w:val="68EB2F63"/>
    <w:multiLevelType w:val="hybridMultilevel"/>
    <w:lvl w:ilvl="0">
      <w:lvlJc w:val="left"/>
      <w:lvlText w:val="(%1)"/>
      <w:numFmt w:val="decimal"/>
      <w:start w:val="21"/>
    </w:lvl>
  </w:abstractNum>
  <w:abstractNum w:abstractNumId="31">
    <w:nsid w:val="4962813B"/>
    <w:multiLevelType w:val="hybridMultilevel"/>
    <w:lvl w:ilvl="0">
      <w:lvlJc w:val="left"/>
      <w:lvlText w:val="(%1)"/>
      <w:numFmt w:val="decimal"/>
      <w:start w:val="1"/>
    </w:lvl>
  </w:abstractNum>
  <w:abstractNum w:abstractNumId="32">
    <w:nsid w:val="60B6DF70"/>
    <w:multiLevelType w:val="hybridMultilevel"/>
    <w:lvl w:ilvl="0">
      <w:lvlJc w:val="left"/>
      <w:lvlText w:val="(%1)"/>
      <w:numFmt w:val="decimal"/>
      <w:start w:val="2"/>
    </w:lvl>
  </w:abstractNum>
  <w:abstractNum w:abstractNumId="33">
    <w:nsid w:val="6A5EE64"/>
    <w:multiLevelType w:val="hybridMultilevel"/>
    <w:lvl w:ilvl="0">
      <w:lvlJc w:val="left"/>
      <w:lvlText w:val="(%1)"/>
      <w:numFmt w:val="lowerLetter"/>
      <w:start w:val="1"/>
    </w:lvl>
  </w:abstractNum>
  <w:abstractNum w:abstractNumId="34">
    <w:nsid w:val="14330624"/>
    <w:multiLevelType w:val="hybridMultilevel"/>
    <w:lvl w:ilvl="0">
      <w:lvlJc w:val="left"/>
      <w:lvlText w:val="(%1)"/>
      <w:numFmt w:val="lowerLetter"/>
      <w:start w:val="3"/>
    </w:lvl>
  </w:abstractNum>
  <w:abstractNum w:abstractNumId="35">
    <w:nsid w:val="7FFFCA11"/>
    <w:multiLevelType w:val="hybridMultilevel"/>
    <w:lvl w:ilvl="0">
      <w:lvlJc w:val="left"/>
      <w:lvlText w:val="(%1)"/>
      <w:numFmt w:val="lowerLetter"/>
      <w:start w:val="4"/>
    </w:lvl>
  </w:abstractNum>
  <w:abstractNum w:abstractNumId="36">
    <w:nsid w:val="1A27709E"/>
    <w:multiLevelType w:val="hybridMultilevel"/>
    <w:lvl w:ilvl="0">
      <w:lvlJc w:val="left"/>
      <w:lvlText w:val="(%1)"/>
      <w:numFmt w:val="lowerLetter"/>
      <w:start w:val="1"/>
    </w:lvl>
  </w:abstractNum>
  <w:abstractNum w:abstractNumId="37">
    <w:nsid w:val="71EA1109"/>
    <w:multiLevelType w:val="hybridMultilevel"/>
    <w:lvl w:ilvl="0">
      <w:lvlJc w:val="left"/>
      <w:lvlText w:val="(%1)"/>
      <w:numFmt w:val="lowerLetter"/>
      <w:start w:val="2"/>
    </w:lvl>
  </w:abstractNum>
  <w:abstractNum w:abstractNumId="38">
    <w:nsid w:val="100F59DC"/>
    <w:multiLevelType w:val="hybridMultilevel"/>
    <w:lvl w:ilvl="0">
      <w:lvlJc w:val="left"/>
      <w:lvlText w:val="(%1)"/>
      <w:numFmt w:val="lowerLetter"/>
      <w:start w:val="1"/>
    </w:lvl>
  </w:abstractNum>
  <w:abstractNum w:abstractNumId="39">
    <w:nsid w:val="7FB7E0AA"/>
    <w:multiLevelType w:val="hybridMultilevel"/>
    <w:lvl w:ilvl="0">
      <w:lvlJc w:val="left"/>
      <w:lvlText w:val="(%1)"/>
      <w:numFmt w:val="lowerLetter"/>
      <w:start w:val="2"/>
    </w:lvl>
  </w:abstractNum>
  <w:abstractNum w:abstractNumId="40">
    <w:nsid w:val="6EB5BD4"/>
    <w:multiLevelType w:val="hybridMultilevel"/>
    <w:lvl w:ilvl="0">
      <w:lvlJc w:val="left"/>
      <w:lvlText w:val="(%1)"/>
      <w:numFmt w:val="lowerLetter"/>
      <w:start w:val="1"/>
    </w:lvl>
  </w:abstractNum>
  <w:abstractNum w:abstractNumId="41">
    <w:nsid w:val="6F6DD9AC"/>
    <w:multiLevelType w:val="hybridMultilevel"/>
    <w:lvl w:ilvl="0">
      <w:lvlJc w:val="left"/>
      <w:lvlText w:val="(%1)"/>
      <w:numFmt w:val="lowerLetter"/>
      <w:start w:val="1"/>
    </w:lvl>
    <w:lvl w:ilvl="1">
      <w:lvlJc w:val="left"/>
      <w:lvlText w:val="(%2)"/>
      <w:numFmt w:val="decimal"/>
      <w:start w:val="1"/>
    </w:lvl>
  </w:abstractNum>
  <w:abstractNum w:abstractNumId="42">
    <w:nsid w:val="94211F2"/>
    <w:multiLevelType w:val="hybridMultilevel"/>
    <w:lvl w:ilvl="0">
      <w:lvlJc w:val="left"/>
      <w:lvlText w:val="(%1)"/>
      <w:numFmt w:val="lowerLetter"/>
      <w:start w:val="3"/>
    </w:lvl>
  </w:abstractNum>
  <w:abstractNum w:abstractNumId="43">
    <w:nsid w:val="885E1B"/>
    <w:multiLevelType w:val="hybridMultilevel"/>
    <w:lvl w:ilvl="0">
      <w:lvlJc w:val="left"/>
      <w:lvlText w:val="(%1)"/>
      <w:numFmt w:val="lowerLetter"/>
      <w:start w:val="1"/>
    </w:lvl>
  </w:abstractNum>
  <w:abstractNum w:abstractNumId="44">
    <w:nsid w:val="76272110"/>
    <w:multiLevelType w:val="hybridMultilevel"/>
    <w:lvl w:ilvl="0">
      <w:lvlJc w:val="left"/>
      <w:lvlText w:val="(%1)"/>
      <w:numFmt w:val="lowerLetter"/>
      <w:start w:val="1"/>
    </w:lvl>
  </w:abstractNum>
  <w:abstractNum w:abstractNumId="45">
    <w:nsid w:val="4C04A8AF"/>
    <w:multiLevelType w:val="hybridMultilevel"/>
    <w:lvl w:ilvl="0">
      <w:lvlJc w:val="left"/>
      <w:lvlText w:val="(%1)"/>
      <w:numFmt w:val="lowerLetter"/>
      <w:start w:val="1"/>
    </w:lvl>
  </w:abstractNum>
  <w:abstractNum w:abstractNumId="46">
    <w:nsid w:val="1716703B"/>
    <w:multiLevelType w:val="hybridMultilevel"/>
    <w:lvl w:ilvl="0">
      <w:lvlJc w:val="left"/>
      <w:lvlText w:val="(%1)"/>
      <w:numFmt w:val="lowerLetter"/>
      <w:start w:val="2"/>
    </w:lvl>
  </w:abstractNum>
  <w:abstractNum w:abstractNumId="47">
    <w:nsid w:val="14E17E33"/>
    <w:multiLevelType w:val="hybridMultilevel"/>
    <w:lvl w:ilvl="0">
      <w:lvlJc w:val="left"/>
      <w:lvlText w:val="(%1)"/>
      <w:numFmt w:val="lowerLetter"/>
      <w:start w:val="1"/>
    </w:lvl>
    <w:lvl w:ilvl="1">
      <w:lvlJc w:val="left"/>
      <w:lvlText w:val="(%2)"/>
      <w:numFmt w:val="decimal"/>
      <w:start w:val="1"/>
    </w:lvl>
  </w:abstractNum>
  <w:abstractNum w:abstractNumId="48">
    <w:nsid w:val="3222E7CD"/>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49">
    <w:nsid w:val="74DE0EE3"/>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50">
    <w:nsid w:val="68EBC550"/>
    <w:multiLevelType w:val="hybridMultilevel"/>
    <w:lvl w:ilvl="0">
      <w:lvlJc w:val="left"/>
      <w:lvlText w:val="(%1)"/>
      <w:numFmt w:val="decimal"/>
      <w:start w:val="4"/>
    </w:lvl>
    <w:lvl w:ilvl="1">
      <w:lvlJc w:val="left"/>
      <w:lvlText w:val="(%2)"/>
      <w:numFmt w:val="lowerLetter"/>
      <w:start w:val="3"/>
    </w:lvl>
    <w:lvl w:ilvl="2">
      <w:lvlJc w:val="left"/>
      <w:lvlText w:val="%3"/>
      <w:numFmt w:val="decimal"/>
      <w:start w:val="1"/>
    </w:lvl>
  </w:abstractNum>
  <w:abstractNum w:abstractNumId="51">
    <w:nsid w:val="2DF6D648"/>
    <w:multiLevelType w:val="hybridMultilevel"/>
    <w:lvl w:ilvl="0">
      <w:lvlJc w:val="left"/>
      <w:lvlText w:val="(%1)"/>
      <w:numFmt w:val="lowerLetter"/>
      <w:start w:val="4"/>
    </w:lvl>
  </w:abstractNum>
  <w:abstractNum w:abstractNumId="52">
    <w:nsid w:val="46B7D447"/>
    <w:multiLevelType w:val="hybridMultilevel"/>
    <w:lvl w:ilvl="0">
      <w:lvlJc w:val="left"/>
      <w:lvlText w:val="(%1)"/>
      <w:numFmt w:val="lowerLetter"/>
      <w:start w:val="1"/>
    </w:lvl>
  </w:abstractNum>
  <w:abstractNum w:abstractNumId="53">
    <w:nsid w:val="4A2AC315"/>
    <w:multiLevelType w:val="hybridMultilevel"/>
    <w:lvl w:ilvl="0">
      <w:lvlJc w:val="left"/>
      <w:lvlText w:val="(%1)"/>
      <w:numFmt w:val="lowerLetter"/>
      <w:start w:val="4"/>
    </w:lvl>
  </w:abstractNum>
  <w:abstractNum w:abstractNumId="54">
    <w:nsid w:val="39EE015C"/>
    <w:multiLevelType w:val="hybridMultilevel"/>
    <w:lvl w:ilvl="0">
      <w:lvlJc w:val="left"/>
      <w:lvlText w:val="(%1)"/>
      <w:numFmt w:val="lowerLetter"/>
      <w:start w:val="1"/>
    </w:lvl>
  </w:abstractNum>
  <w:abstractNum w:abstractNumId="55">
    <w:nsid w:val="57FC4FBB"/>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56">
    <w:nsid w:val="CC1016F"/>
    <w:multiLevelType w:val="hybridMultilevel"/>
    <w:lvl w:ilvl="0">
      <w:lvlJc w:val="left"/>
      <w:lvlText w:val="(%1)"/>
      <w:numFmt w:val="decimal"/>
      <w:start w:val="4"/>
    </w:lvl>
  </w:abstractNum>
  <w:abstractNum w:abstractNumId="57">
    <w:nsid w:val="43F18422"/>
    <w:multiLevelType w:val="hybridMultilevel"/>
    <w:lvl w:ilvl="0">
      <w:lvlJc w:val="left"/>
      <w:lvlText w:val="(%1)"/>
      <w:numFmt w:val="lowerLetter"/>
      <w:start w:val="1"/>
    </w:lvl>
  </w:abstractNum>
  <w:abstractNum w:abstractNumId="58">
    <w:nsid w:val="60EF0119"/>
    <w:multiLevelType w:val="hybridMultilevel"/>
    <w:lvl w:ilvl="0">
      <w:lvlJc w:val="left"/>
      <w:lvlText w:val="(%1)"/>
      <w:numFmt w:val="lowerLetter"/>
      <w:start w:val="7"/>
    </w:lvl>
  </w:abstractNum>
  <w:abstractNum w:abstractNumId="59">
    <w:nsid w:val="26F324BA"/>
    <w:multiLevelType w:val="hybridMultilevel"/>
    <w:lvl w:ilvl="0">
      <w:lvlJc w:val="left"/>
      <w:lvlText w:val="(%1)"/>
      <w:numFmt w:val="lowerLetter"/>
      <w:start w:val="1"/>
    </w:lvl>
  </w:abstractNum>
  <w:abstractNum w:abstractNumId="60">
    <w:nsid w:val="7F01579B"/>
    <w:multiLevelType w:val="hybridMultilevel"/>
    <w:lvl w:ilvl="0">
      <w:lvlJc w:val="left"/>
      <w:lvlText w:val="(%1)"/>
      <w:numFmt w:val="lowerLetter"/>
      <w:start w:val="3"/>
    </w:lvl>
  </w:abstractNum>
  <w:abstractNum w:abstractNumId="61">
    <w:nsid w:val="49DA307D"/>
    <w:multiLevelType w:val="hybridMultilevel"/>
    <w:lvl w:ilvl="0">
      <w:lvlJc w:val="left"/>
      <w:lvlText w:val="(%1)"/>
      <w:numFmt w:val="lowerLetter"/>
      <w:start w:val="1"/>
    </w:lvl>
  </w:abstractNum>
  <w:abstractNum w:abstractNumId="62">
    <w:nsid w:val="7055A5F5"/>
    <w:multiLevelType w:val="hybridMultilevel"/>
    <w:lvl w:ilvl="0">
      <w:lvlJc w:val="left"/>
      <w:lvlText w:val="(%1)"/>
      <w:numFmt w:val="lowerLetter"/>
      <w:start w:val="3"/>
    </w:lvl>
  </w:abstractNum>
  <w:abstractNum w:abstractNumId="63">
    <w:nsid w:val="5FB8370B"/>
    <w:multiLevelType w:val="hybridMultilevel"/>
    <w:lvl w:ilvl="0">
      <w:lvlJc w:val="left"/>
      <w:lvlText w:val="(%1)"/>
      <w:numFmt w:val="lowerLetter"/>
      <w:start w:val="1"/>
    </w:lvl>
    <w:lvl w:ilvl="1">
      <w:lvlJc w:val="left"/>
      <w:lvlText w:val="(%2)"/>
      <w:numFmt w:val="lowerRoman"/>
      <w:start w:val="1"/>
    </w:lvl>
  </w:abstractNum>
  <w:abstractNum w:abstractNumId="64">
    <w:nsid w:val="50801EE1"/>
    <w:multiLevelType w:val="hybridMultilevel"/>
    <w:lvl w:ilvl="0">
      <w:lvlJc w:val="left"/>
      <w:lvlText w:val="(%1)"/>
      <w:numFmt w:val="lowerLetter"/>
      <w:start w:val="3"/>
    </w:lvl>
  </w:abstractNum>
  <w:abstractNum w:abstractNumId="65">
    <w:nsid w:val="488AC1A"/>
    <w:multiLevelType w:val="hybridMultilevel"/>
    <w:lvl w:ilvl="0">
      <w:lvlJc w:val="left"/>
      <w:lvlText w:val="(%1)"/>
      <w:numFmt w:val="lowerLetter"/>
      <w:start w:val="1"/>
    </w:lvl>
  </w:abstractNum>
  <w:abstractNum w:abstractNumId="66">
    <w:nsid w:val="5FB8011C"/>
    <w:multiLevelType w:val="hybridMultilevel"/>
    <w:lvl w:ilvl="0">
      <w:lvlJc w:val="left"/>
      <w:lvlText w:val="(%1)"/>
      <w:numFmt w:val="lowerLetter"/>
      <w:start w:val="3"/>
    </w:lvl>
  </w:abstractNum>
  <w:abstractNum w:abstractNumId="67">
    <w:nsid w:val="6AA78F7F"/>
    <w:multiLevelType w:val="hybridMultilevel"/>
    <w:lvl w:ilvl="0">
      <w:lvlJc w:val="left"/>
      <w:lvlText w:val="(%1)"/>
      <w:numFmt w:val="lowerLetter"/>
      <w:start w:val="2"/>
    </w:lvl>
  </w:abstractNum>
  <w:abstractNum w:abstractNumId="68">
    <w:nsid w:val="7672BD23"/>
    <w:multiLevelType w:val="hybridMultilevel"/>
    <w:lvl w:ilvl="0">
      <w:lvlJc w:val="left"/>
      <w:lvlText w:val="(%1)"/>
      <w:numFmt w:val="lowerLetter"/>
      <w:start w:val="1"/>
    </w:lvl>
  </w:abstractNum>
  <w:abstractNum w:abstractNumId="69">
    <w:nsid w:val="6FC75AF8"/>
    <w:multiLevelType w:val="hybridMultilevel"/>
    <w:lvl w:ilvl="0">
      <w:lvlJc w:val="left"/>
      <w:lvlText w:val="(%1)"/>
      <w:numFmt w:val="lowerLetter"/>
      <w:start w:val="8"/>
    </w:lvl>
  </w:abstractNum>
  <w:abstractNum w:abstractNumId="70">
    <w:nsid w:val="6A5F7029"/>
    <w:multiLevelType w:val="hybridMultilevel"/>
    <w:lvl w:ilvl="0">
      <w:lvlJc w:val="left"/>
      <w:lvlText w:val="(%1)"/>
      <w:numFmt w:val="lowerRoman"/>
      <w:start w:val="1"/>
    </w:lvl>
  </w:abstractNum>
  <w:abstractNum w:abstractNumId="71">
    <w:nsid w:val="7D5E18F8"/>
    <w:multiLevelType w:val="hybridMultilevel"/>
    <w:lvl w:ilvl="0">
      <w:lvlJc w:val="left"/>
      <w:lvlText w:val="(%1)"/>
      <w:numFmt w:val="lowerLetter"/>
      <w:start w:val="2"/>
    </w:lvl>
  </w:abstractNum>
  <w:abstractNum w:abstractNumId="72">
    <w:nsid w:val="5F3534A4"/>
    <w:multiLevelType w:val="hybridMultilevel"/>
    <w:lvl w:ilvl="0">
      <w:lvlJc w:val="left"/>
      <w:lvlText w:val="(%1)"/>
      <w:numFmt w:val="lowerLetter"/>
      <w:start w:val="1"/>
    </w:lvl>
  </w:abstractNum>
  <w:abstractNum w:abstractNumId="73">
    <w:nsid w:val="73A1821B"/>
    <w:multiLevelType w:val="hybridMultilevel"/>
    <w:lvl w:ilvl="0">
      <w:lvlJc w:val="left"/>
      <w:lvlText w:val="(%1)"/>
      <w:numFmt w:val="lowerLetter"/>
      <w:start w:val="2"/>
    </w:lvl>
  </w:abstractNum>
  <w:abstractNum w:abstractNumId="74">
    <w:nsid w:val="7DE67713"/>
    <w:multiLevelType w:val="hybridMultilevel"/>
    <w:lvl w:ilvl="0">
      <w:lvlJc w:val="left"/>
      <w:lvlText w:val="(%1)"/>
      <w:numFmt w:val="lowerLetter"/>
      <w:start w:val="1"/>
    </w:lvl>
  </w:abstractNum>
  <w:abstractNum w:abstractNumId="75">
    <w:nsid w:val="555C55B5"/>
    <w:multiLevelType w:val="hybridMultilevel"/>
    <w:lvl w:ilvl="0">
      <w:lvlJc w:val="left"/>
      <w:lvlText w:val="2"/>
      <w:numFmt w:val="bullet"/>
      <w:start w:val="1"/>
    </w:lvl>
  </w:abstractNum>
  <w:abstractNum w:abstractNumId="76">
    <w:nsid w:val="3FA62ACA"/>
    <w:multiLevelType w:val="hybridMultilevel"/>
    <w:lvl w:ilvl="0">
      <w:lvlJc w:val="left"/>
      <w:lvlText w:val="1"/>
      <w:numFmt w:val="bullet"/>
      <w:start w:val="1"/>
    </w:lvl>
  </w:abstractNum>
  <w:abstractNum w:abstractNumId="77">
    <w:nsid w:val="14FCE74E"/>
    <w:multiLevelType w:val="hybridMultilevel"/>
    <w:lvl w:ilvl="0">
      <w:lvlJc w:val="left"/>
      <w:lvlText w:val="(%1)"/>
      <w:numFmt w:val="lowerLetter"/>
      <w:start w:val="1"/>
    </w:lvl>
  </w:abstractNum>
  <w:abstractNum w:abstractNumId="78">
    <w:nsid w:val="6A3DD3E8"/>
    <w:multiLevelType w:val="hybridMultilevel"/>
    <w:lvl w:ilvl="0">
      <w:lvlJc w:val="left"/>
      <w:lvlText w:val="(%1)"/>
      <w:numFmt w:val="lowerLetter"/>
      <w:start w:val="3"/>
    </w:lvl>
  </w:abstractNum>
  <w:abstractNum w:abstractNumId="79">
    <w:nsid w:val="71C91298"/>
    <w:multiLevelType w:val="hybridMultilevel"/>
    <w:lvl w:ilvl="0">
      <w:lvlJc w:val="left"/>
      <w:lvlText w:val="(%1)"/>
      <w:numFmt w:val="lowerLetter"/>
      <w:start w:val="1"/>
    </w:lvl>
    <w:lvl w:ilvl="1">
      <w:lvlJc w:val="left"/>
      <w:lvlText w:val="(%2)"/>
      <w:numFmt w:val="decimal"/>
      <w:start w:val="1"/>
    </w:lvl>
  </w:abstractNum>
  <w:abstractNum w:abstractNumId="80">
    <w:nsid w:val="9DAF632"/>
    <w:multiLevelType w:val="hybridMultilevel"/>
    <w:lvl w:ilvl="0">
      <w:lvlJc w:val="left"/>
      <w:lvlText w:val="(%1)"/>
      <w:numFmt w:val="decimal"/>
      <w:start w:val="4"/>
    </w:lvl>
  </w:abstractNum>
  <w:abstractNum w:abstractNumId="81">
    <w:nsid w:val="53299938"/>
    <w:multiLevelType w:val="hybridMultilevel"/>
    <w:lvl w:ilvl="0">
      <w:lvlJc w:val="left"/>
      <w:lvlText w:val="(%1)"/>
      <w:numFmt w:val="decimal"/>
      <w:start w:val="13"/>
    </w:lvl>
  </w:abstractNum>
  <w:abstractNum w:abstractNumId="82">
    <w:nsid w:val="1FBFE8E0"/>
    <w:multiLevelType w:val="hybridMultilevel"/>
    <w:lvl w:ilvl="0">
      <w:lvlJc w:val="left"/>
      <w:lvlText w:val="(%1)"/>
      <w:numFmt w:val="decimal"/>
      <w:start w:val="21"/>
    </w:lvl>
  </w:abstractNum>
  <w:abstractNum w:abstractNumId="83">
    <w:nsid w:val="5092CA79"/>
    <w:multiLevelType w:val="hybridMultilevel"/>
    <w:lvl w:ilvl="0">
      <w:lvlJc w:val="left"/>
      <w:lvlText w:val="(%1)"/>
      <w:numFmt w:val="decimal"/>
      <w:start w:val="1"/>
    </w:lvl>
  </w:abstractNum>
  <w:abstractNum w:abstractNumId="84">
    <w:nsid w:val="1D545C4D"/>
    <w:multiLevelType w:val="hybridMultilevel"/>
    <w:lvl w:ilvl="0">
      <w:lvlJc w:val="left"/>
      <w:lvlText w:val="(%1)"/>
      <w:numFmt w:val="decimal"/>
      <w:start w:val="2"/>
    </w:lvl>
  </w:abstractNum>
  <w:abstractNum w:abstractNumId="85">
    <w:nsid w:val="59ADEA3D"/>
    <w:multiLevelType w:val="hybridMultilevel"/>
    <w:lvl w:ilvl="0">
      <w:lvlJc w:val="left"/>
      <w:lvlText w:val="(%1)"/>
      <w:numFmt w:val="lowerLetter"/>
      <w:start w:val="1"/>
    </w:lvl>
  </w:abstractNum>
  <w:abstractNum w:abstractNumId="86">
    <w:nsid w:val="288F1A34"/>
    <w:multiLevelType w:val="hybridMultilevel"/>
    <w:lvl w:ilvl="0">
      <w:lvlJc w:val="left"/>
      <w:lvlText w:val="(%1)"/>
      <w:numFmt w:val="lowerLetter"/>
      <w:start w:val="3"/>
    </w:lvl>
  </w:abstractNum>
  <w:abstractNum w:abstractNumId="87">
    <w:nsid w:val="2A155DBC"/>
    <w:multiLevelType w:val="hybridMultilevel"/>
    <w:lvl w:ilvl="0">
      <w:lvlJc w:val="left"/>
      <w:lvlText w:val="(%1)"/>
      <w:numFmt w:val="lowerLetter"/>
      <w:start w:val="4"/>
    </w:lvl>
  </w:abstractNum>
  <w:abstractNum w:abstractNumId="88">
    <w:nsid w:val="1D9F6E5F"/>
    <w:multiLevelType w:val="hybridMultilevel"/>
    <w:lvl w:ilvl="0">
      <w:lvlJc w:val="left"/>
      <w:lvlText w:val="(%1)"/>
      <w:numFmt w:val="lowerLetter"/>
      <w:start w:val="1"/>
    </w:lvl>
  </w:abstractNum>
  <w:abstractNum w:abstractNumId="89">
    <w:nsid w:val="97E1B4E"/>
    <w:multiLevelType w:val="hybridMultilevel"/>
    <w:lvl w:ilvl="0">
      <w:lvlJc w:val="left"/>
      <w:lvlText w:val="(%1)"/>
      <w:numFmt w:val="lowerLetter"/>
      <w:start w:val="2"/>
    </w:lvl>
  </w:abstractNum>
  <w:abstractNum w:abstractNumId="90">
    <w:nsid w:val="51088277"/>
    <w:multiLevelType w:val="hybridMultilevel"/>
    <w:lvl w:ilvl="0">
      <w:lvlJc w:val="left"/>
      <w:lvlText w:val="(%1)"/>
      <w:numFmt w:val="lowerLetter"/>
      <w:start w:val="1"/>
    </w:lvl>
  </w:abstractNum>
  <w:abstractNum w:abstractNumId="91">
    <w:nsid w:val="1CA0C5FA"/>
    <w:multiLevelType w:val="hybridMultilevel"/>
    <w:lvl w:ilvl="0">
      <w:lvlJc w:val="left"/>
      <w:lvlText w:val="(%1)"/>
      <w:numFmt w:val="lowerLetter"/>
      <w:start w:val="2"/>
    </w:lvl>
  </w:abstractNum>
  <w:abstractNum w:abstractNumId="92">
    <w:nsid w:val="53584BCB"/>
    <w:multiLevelType w:val="hybridMultilevel"/>
    <w:lvl w:ilvl="0">
      <w:lvlJc w:val="left"/>
      <w:lvlText w:val="(%1)"/>
      <w:numFmt w:val="lowerLetter"/>
      <w:start w:val="1"/>
    </w:lvl>
  </w:abstractNum>
  <w:abstractNum w:abstractNumId="93">
    <w:nsid w:val="415E286C"/>
    <w:multiLevelType w:val="hybridMultilevel"/>
    <w:lvl w:ilvl="0">
      <w:lvlJc w:val="left"/>
      <w:lvlText w:val="(%1)"/>
      <w:numFmt w:val="lowerLetter"/>
      <w:start w:val="1"/>
    </w:lvl>
    <w:lvl w:ilvl="1">
      <w:lvlJc w:val="left"/>
      <w:lvlText w:val="(%2)"/>
      <w:numFmt w:val="decimal"/>
      <w:start w:val="1"/>
    </w:lvl>
  </w:abstractNum>
  <w:abstractNum w:abstractNumId="94">
    <w:nsid w:val="7C58FD05"/>
    <w:multiLevelType w:val="hybridMultilevel"/>
    <w:lvl w:ilvl="0">
      <w:lvlJc w:val="left"/>
      <w:lvlText w:val="(%1)"/>
      <w:numFmt w:val="lowerLetter"/>
      <w:start w:val="3"/>
    </w:lvl>
  </w:abstractNum>
  <w:abstractNum w:abstractNumId="95">
    <w:nsid w:val="23D86AAC"/>
    <w:multiLevelType w:val="hybridMultilevel"/>
    <w:lvl w:ilvl="0">
      <w:lvlJc w:val="left"/>
      <w:lvlText w:val="(%1)"/>
      <w:numFmt w:val="lowerLetter"/>
      <w:start w:val="1"/>
    </w:lvl>
  </w:abstractNum>
  <w:abstractNum w:abstractNumId="96">
    <w:nsid w:val="45E6D486"/>
    <w:multiLevelType w:val="hybridMultilevel"/>
    <w:lvl w:ilvl="0">
      <w:lvlJc w:val="left"/>
      <w:lvlText w:val="(%1)"/>
      <w:numFmt w:val="lowerLetter"/>
      <w:start w:val="1"/>
    </w:lvl>
  </w:abstractNum>
  <w:abstractNum w:abstractNumId="97">
    <w:nsid w:val="5C10FE21"/>
    <w:multiLevelType w:val="hybridMultilevel"/>
    <w:lvl w:ilvl="0">
      <w:lvlJc w:val="left"/>
      <w:lvlText w:val="(%1)"/>
      <w:numFmt w:val="lowerLetter"/>
      <w:start w:val="1"/>
    </w:lvl>
  </w:abstractNum>
  <w:abstractNum w:abstractNumId="98">
    <w:nsid w:val="E7FFA2B"/>
    <w:multiLevelType w:val="hybridMultilevel"/>
    <w:lvl w:ilvl="0">
      <w:lvlJc w:val="left"/>
      <w:lvlText w:val="(%1)"/>
      <w:numFmt w:val="lowerLetter"/>
      <w:start w:val="1"/>
    </w:lvl>
    <w:lvl w:ilvl="1">
      <w:lvlJc w:val="left"/>
      <w:lvlText w:val="(%2)"/>
      <w:numFmt w:val="decimal"/>
      <w:start w:val="1"/>
    </w:lvl>
  </w:abstractNum>
  <w:abstractNum w:abstractNumId="99">
    <w:nsid w:val="3C5991AA"/>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100">
    <w:nsid w:val="4BD8591A"/>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01">
    <w:nsid w:val="78DF6A55"/>
    <w:multiLevelType w:val="hybridMultilevel"/>
    <w:lvl w:ilvl="0">
      <w:lvlJc w:val="left"/>
      <w:lvlText w:val="(%1)"/>
      <w:numFmt w:val="decimal"/>
      <w:start w:val="4"/>
    </w:lvl>
    <w:lvl w:ilvl="1">
      <w:lvlJc w:val="left"/>
      <w:lvlText w:val="(%2)"/>
      <w:numFmt w:val="lowerLetter"/>
      <w:start w:val="3"/>
    </w:lvl>
    <w:lvl w:ilvl="2">
      <w:lvlJc w:val="left"/>
      <w:lvlText w:val="%3"/>
      <w:numFmt w:val="decimal"/>
      <w:start w:val="1"/>
    </w:lvl>
  </w:abstractNum>
  <w:abstractNum w:abstractNumId="102">
    <w:nsid w:val="39B7AAA2"/>
    <w:multiLevelType w:val="hybridMultilevel"/>
    <w:lvl w:ilvl="0">
      <w:lvlJc w:val="left"/>
      <w:lvlText w:val="(%1)"/>
      <w:numFmt w:val="lowerLetter"/>
      <w:start w:val="4"/>
    </w:lvl>
  </w:abstractNum>
  <w:abstractNum w:abstractNumId="103">
    <w:nsid w:val="2B0D8DBE"/>
    <w:multiLevelType w:val="hybridMultilevel"/>
    <w:lvl w:ilvl="0">
      <w:lvlJc w:val="left"/>
      <w:lvlText w:val="(%1)"/>
      <w:numFmt w:val="lowerLetter"/>
      <w:start w:val="1"/>
    </w:lvl>
  </w:abstractNum>
  <w:abstractNum w:abstractNumId="104">
    <w:nsid w:val="6C80EC70"/>
    <w:multiLevelType w:val="hybridMultilevel"/>
    <w:lvl w:ilvl="0">
      <w:lvlJc w:val="left"/>
      <w:lvlText w:val="(%1)"/>
      <w:numFmt w:val="lowerLetter"/>
      <w:start w:val="4"/>
    </w:lvl>
  </w:abstractNum>
  <w:abstractNum w:abstractNumId="105">
    <w:nsid w:val="379E21B5"/>
    <w:multiLevelType w:val="hybridMultilevel"/>
    <w:lvl w:ilvl="0">
      <w:lvlJc w:val="left"/>
      <w:lvlText w:val="(%1)"/>
      <w:numFmt w:val="lowerLetter"/>
      <w:start w:val="1"/>
    </w:lvl>
  </w:abstractNum>
  <w:abstractNum w:abstractNumId="106">
    <w:nsid w:val="69E37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07">
    <w:nsid w:val="2C27173B"/>
    <w:multiLevelType w:val="hybridMultilevel"/>
    <w:lvl w:ilvl="0">
      <w:lvlJc w:val="left"/>
      <w:lvlText w:val="(%1)"/>
      <w:numFmt w:val="decimal"/>
      <w:start w:val="3"/>
    </w:lvl>
  </w:abstractNum>
  <w:abstractNum w:abstractNumId="108">
    <w:nsid w:val="4C9B0904"/>
    <w:multiLevelType w:val="hybridMultilevel"/>
    <w:lvl w:ilvl="0">
      <w:lvlJc w:val="left"/>
      <w:lvlText w:val="(%1)"/>
      <w:numFmt w:val="lowerLetter"/>
      <w:start w:val="1"/>
    </w:lvl>
  </w:abstractNum>
  <w:abstractNum w:abstractNumId="109">
    <w:nsid w:val="6AA7B75C"/>
    <w:multiLevelType w:val="hybridMultilevel"/>
    <w:lvl w:ilvl="0">
      <w:lvlJc w:val="left"/>
      <w:lvlText w:val="(%1)"/>
      <w:numFmt w:val="lowerLetter"/>
      <w:start w:val="6"/>
    </w:lvl>
  </w:abstractNum>
  <w:abstractNum w:abstractNumId="110">
    <w:nsid w:val="1DF029D3"/>
    <w:multiLevelType w:val="hybridMultilevel"/>
    <w:lvl w:ilvl="0">
      <w:lvlJc w:val="left"/>
      <w:lvlText w:val="(%1)"/>
      <w:numFmt w:val="lowerLetter"/>
      <w:start w:val="1"/>
    </w:lvl>
  </w:abstractNum>
  <w:abstractNum w:abstractNumId="111">
    <w:nsid w:val="5675FF36"/>
    <w:multiLevelType w:val="hybridMultilevel"/>
    <w:lvl w:ilvl="0">
      <w:lvlJc w:val="left"/>
      <w:lvlText w:val="(%1)"/>
      <w:numFmt w:val="lowerLetter"/>
      <w:start w:val="1"/>
    </w:lvl>
  </w:abstractNum>
  <w:abstractNum w:abstractNumId="112">
    <w:nsid w:val="3DD15094"/>
    <w:multiLevelType w:val="hybridMultilevel"/>
    <w:lvl w:ilvl="0">
      <w:lvlJc w:val="left"/>
      <w:lvlText w:val="(%1)"/>
      <w:numFmt w:val="lowerLetter"/>
      <w:start w:val="2"/>
    </w:lvl>
  </w:abstractNum>
  <w:abstractNum w:abstractNumId="113">
    <w:nsid w:val="3DB012B3"/>
    <w:multiLevelType w:val="hybridMultilevel"/>
    <w:lvl w:ilvl="0">
      <w:lvlJc w:val="left"/>
      <w:lvlText w:val="(%1)"/>
      <w:numFmt w:val="lowerLetter"/>
      <w:start w:val="1"/>
    </w:lvl>
    <w:lvl w:ilvl="1">
      <w:lvlJc w:val="left"/>
      <w:lvlText w:val="(%2)"/>
      <w:numFmt w:val="lowerRoman"/>
      <w:start w:val="1"/>
    </w:lvl>
  </w:abstractNum>
  <w:abstractNum w:abstractNumId="114">
    <w:nsid w:val="2708C9AF"/>
    <w:multiLevelType w:val="hybridMultilevel"/>
    <w:lvl w:ilvl="0">
      <w:lvlJc w:val="left"/>
      <w:lvlText w:val="(%1)"/>
      <w:numFmt w:val="lowerLetter"/>
      <w:start w:val="3"/>
    </w:lvl>
  </w:abstractNum>
  <w:abstractNum w:abstractNumId="115">
    <w:nsid w:val="5B25ACE2"/>
    <w:multiLevelType w:val="hybridMultilevel"/>
    <w:lvl w:ilvl="0">
      <w:lvlJc w:val="left"/>
      <w:lvlText w:val="(%1)"/>
      <w:numFmt w:val="lowerLetter"/>
      <w:start w:val="1"/>
    </w:lvl>
  </w:abstractNum>
  <w:abstractNum w:abstractNumId="116">
    <w:nsid w:val="175DFCF0"/>
    <w:multiLevelType w:val="hybridMultilevel"/>
    <w:lvl w:ilvl="0">
      <w:lvlJc w:val="left"/>
      <w:lvlText w:val="(%1)"/>
      <w:numFmt w:val="lowerLetter"/>
      <w:start w:val="3"/>
    </w:lvl>
  </w:abstractNum>
  <w:abstractNum w:abstractNumId="117">
    <w:nsid w:val="4F97E3E4"/>
    <w:multiLevelType w:val="hybridMultilevel"/>
    <w:lvl w:ilvl="0">
      <w:lvlJc w:val="left"/>
      <w:lvlText w:val="(%1)"/>
      <w:numFmt w:val="lowerLetter"/>
      <w:start w:val="2"/>
    </w:lvl>
  </w:abstractNum>
  <w:abstractNum w:abstractNumId="118">
    <w:nsid w:val="53B0A9E"/>
    <w:multiLevelType w:val="hybridMultilevel"/>
    <w:lvl w:ilvl="0">
      <w:lvlJc w:val="left"/>
      <w:lvlText w:val="(%1)"/>
      <w:numFmt w:val="lowerLetter"/>
      <w:start w:val="1"/>
    </w:lvl>
  </w:abstractNum>
  <w:abstractNum w:abstractNumId="119">
    <w:nsid w:val="34FD6B4F"/>
    <w:multiLevelType w:val="hybridMultilevel"/>
    <w:lvl w:ilvl="0">
      <w:lvlJc w:val="left"/>
      <w:lvlText w:val="(%1)"/>
      <w:numFmt w:val="lowerLetter"/>
      <w:start w:val="8"/>
    </w:lvl>
  </w:abstractNum>
  <w:abstractNum w:abstractNumId="120">
    <w:nsid w:val="5915FF32"/>
    <w:multiLevelType w:val="hybridMultilevel"/>
    <w:lvl w:ilvl="0">
      <w:lvlJc w:val="left"/>
      <w:lvlText w:val="(%1)"/>
      <w:numFmt w:val="lowerLetter"/>
      <w:start w:val="1"/>
    </w:lvl>
  </w:abstractNum>
  <w:abstractNum w:abstractNumId="121">
    <w:nsid w:val="56438D15"/>
    <w:multiLevelType w:val="hybridMultilevel"/>
    <w:lvl w:ilvl="0">
      <w:lvlJc w:val="left"/>
      <w:lvlText w:val="(%1)"/>
      <w:numFmt w:val="lowerLetter"/>
      <w:start w:val="2"/>
    </w:lvl>
  </w:abstractNum>
  <w:abstractNum w:abstractNumId="122">
    <w:nsid w:val="519E3149"/>
    <w:multiLevelType w:val="hybridMultilevel"/>
    <w:lvl w:ilvl="0">
      <w:lvlJc w:val="left"/>
      <w:lvlText w:val="(%1)"/>
      <w:numFmt w:val="lowerLetter"/>
      <w:start w:val="1"/>
    </w:lvl>
  </w:abstractNum>
  <w:abstractNum w:abstractNumId="123">
    <w:nsid w:val="2C6E4AFD"/>
    <w:multiLevelType w:val="hybridMultilevel"/>
    <w:lvl w:ilvl="0">
      <w:lvlJc w:val="left"/>
      <w:lvlText w:val="2"/>
      <w:numFmt w:val="bullet"/>
      <w:start w:val="1"/>
    </w:lvl>
  </w:abstractNum>
  <w:abstractNum w:abstractNumId="124">
    <w:nsid w:val="17A1B582"/>
    <w:multiLevelType w:val="hybridMultilevel"/>
    <w:lvl w:ilvl="0">
      <w:lvlJc w:val="left"/>
      <w:lvlText w:val="(%1)"/>
      <w:numFmt w:val="lowerRoman"/>
      <w:start w:val="4"/>
    </w:lvl>
  </w:abstractNum>
  <w:abstractNum w:abstractNumId="125">
    <w:nsid w:val="4DF72E4E"/>
    <w:multiLevelType w:val="hybridMultilevel"/>
    <w:lvl w:ilvl="0">
      <w:lvlJc w:val="left"/>
      <w:lvlText w:val="•"/>
      <w:numFmt w:val="bullet"/>
      <w:start w:val="1"/>
    </w:lvl>
  </w:abstractNum>
  <w:abstractNum w:abstractNumId="126">
    <w:nsid w:val="5046B5A9"/>
    <w:multiLevelType w:val="hybridMultilevel"/>
    <w:lvl w:ilvl="0">
      <w:lvlJc w:val="left"/>
      <w:lvlText w:val="%1."/>
      <w:numFmt w:val="decimal"/>
      <w:start w:val="1"/>
    </w:lvl>
  </w:abstractNum>
  <w:abstractNum w:abstractNumId="127">
    <w:nsid w:val="5D888A08"/>
    <w:multiLevelType w:val="hybridMultilevel"/>
    <w:lvl w:ilvl="0">
      <w:lvlJc w:val="left"/>
      <w:lvlText w:val="%1."/>
      <w:numFmt w:val="decimal"/>
      <w:start w:val="4"/>
    </w:lvl>
  </w:abstractNum>
  <w:abstractNum w:abstractNumId="128">
    <w:nsid w:val="2A082C70"/>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jpe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0" Type="http://schemas.openxmlformats.org/officeDocument/2006/relationships/image" Target="media/image156.png"/><Relationship Id="rId181" Type="http://schemas.openxmlformats.org/officeDocument/2006/relationships/image" Target="media/image157.png"/><Relationship Id="rId182" Type="http://schemas.openxmlformats.org/officeDocument/2006/relationships/image" Target="media/image158.pn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89" Type="http://schemas.openxmlformats.org/officeDocument/2006/relationships/image" Target="media/image165.png"/><Relationship Id="rId190" Type="http://schemas.openxmlformats.org/officeDocument/2006/relationships/image" Target="media/image166.png"/><Relationship Id="rId191" Type="http://schemas.openxmlformats.org/officeDocument/2006/relationships/image" Target="media/image167.png"/><Relationship Id="rId192" Type="http://schemas.openxmlformats.org/officeDocument/2006/relationships/image" Target="media/image168.png"/><Relationship Id="rId193" Type="http://schemas.openxmlformats.org/officeDocument/2006/relationships/image" Target="media/image169.png"/><Relationship Id="rId194" Type="http://schemas.openxmlformats.org/officeDocument/2006/relationships/image" Target="media/image170.png"/><Relationship Id="rId195" Type="http://schemas.openxmlformats.org/officeDocument/2006/relationships/image" Target="media/image171.png"/><Relationship Id="rId196" Type="http://schemas.openxmlformats.org/officeDocument/2006/relationships/image" Target="media/image172.png"/><Relationship Id="rId197" Type="http://schemas.openxmlformats.org/officeDocument/2006/relationships/image" Target="media/image173.png"/><Relationship Id="rId198" Type="http://schemas.openxmlformats.org/officeDocument/2006/relationships/image" Target="media/image174.png"/><Relationship Id="rId199" Type="http://schemas.openxmlformats.org/officeDocument/2006/relationships/image" Target="media/image175.png"/><Relationship Id="rId200" Type="http://schemas.openxmlformats.org/officeDocument/2006/relationships/image" Target="media/image176.png"/><Relationship Id="rId201" Type="http://schemas.openxmlformats.org/officeDocument/2006/relationships/image" Target="media/image177.png"/><Relationship Id="rId202" Type="http://schemas.openxmlformats.org/officeDocument/2006/relationships/image" Target="media/image178.png"/><Relationship Id="rId203" Type="http://schemas.openxmlformats.org/officeDocument/2006/relationships/image" Target="media/image179.png"/><Relationship Id="rId204" Type="http://schemas.openxmlformats.org/officeDocument/2006/relationships/image" Target="media/image180.png"/><Relationship Id="rId205" Type="http://schemas.openxmlformats.org/officeDocument/2006/relationships/image" Target="media/image181.png"/><Relationship Id="rId206" Type="http://schemas.openxmlformats.org/officeDocument/2006/relationships/image" Target="media/image182.png"/><Relationship Id="rId207" Type="http://schemas.openxmlformats.org/officeDocument/2006/relationships/image" Target="media/image183.png"/><Relationship Id="rId208" Type="http://schemas.openxmlformats.org/officeDocument/2006/relationships/image" Target="media/image184.png"/><Relationship Id="rId209" Type="http://schemas.openxmlformats.org/officeDocument/2006/relationships/image" Target="media/image185.png"/><Relationship Id="rId210" Type="http://schemas.openxmlformats.org/officeDocument/2006/relationships/image" Target="media/image186.png"/><Relationship Id="rId211" Type="http://schemas.openxmlformats.org/officeDocument/2006/relationships/image" Target="media/image187.png"/><Relationship Id="rId212" Type="http://schemas.openxmlformats.org/officeDocument/2006/relationships/image" Target="media/image188.png"/><Relationship Id="rId213" Type="http://schemas.openxmlformats.org/officeDocument/2006/relationships/image" Target="media/image189.png"/><Relationship Id="rId214" Type="http://schemas.openxmlformats.org/officeDocument/2006/relationships/image" Target="media/image190.png"/><Relationship Id="rId215" Type="http://schemas.openxmlformats.org/officeDocument/2006/relationships/image" Target="media/image191.png"/><Relationship Id="rId216" Type="http://schemas.openxmlformats.org/officeDocument/2006/relationships/image" Target="media/image192.png"/><Relationship Id="rId217" Type="http://schemas.openxmlformats.org/officeDocument/2006/relationships/image" Target="media/image193.png"/><Relationship Id="rId218" Type="http://schemas.openxmlformats.org/officeDocument/2006/relationships/image" Target="media/image194.png"/><Relationship Id="rId219" Type="http://schemas.openxmlformats.org/officeDocument/2006/relationships/image" Target="media/image195.png"/><Relationship Id="rId52" Type="http://schemas.openxmlformats.org/officeDocument/2006/relationships/hyperlink" Target="http://www.sec.gov/ix?doc=/Archives/edgar/data/0001661998/000119312526099339/qttb-20251231.htm" TargetMode="External"/><Relationship Id="rId54" Type="http://schemas.openxmlformats.org/officeDocument/2006/relationships/hyperlink" Target="http://www.sec.gov/ix?doc=/Archives/edgar/data/0001661998/000119312526193934/qttb-20260429.htm" TargetMode="External"/><Relationship Id="rId55" Type="http://schemas.openxmlformats.org/officeDocument/2006/relationships/hyperlink" Target="http://www.sec.gov/ix?doc=/Archives/edgar/data/0001661998/000119312526205021/qttb-20260331.htm" TargetMode="External"/><Relationship Id="rId56" Type="http://schemas.openxmlformats.org/officeDocument/2006/relationships/hyperlink" Target="http://www.sec.gov/ix?doc=/Archives/edgar/data/0001661998/000119312526272562/d117360d8k.htm" TargetMode="External"/><Relationship Id="rId57" Type="http://schemas.openxmlformats.org/officeDocument/2006/relationships/hyperlink" Target="http://www.sec.gov/Archives/edgar/data/1661998/000119312518086568/d547147d8a12b.htm" TargetMode="External"/><Relationship Id="rId58" Type="http://schemas.openxmlformats.org/officeDocument/2006/relationships/hyperlink" Target="http://www.sec.gov/Archives/edgar/data/1661998/000119312526099339/qttb-ex4_1.htm" TargetMode="External"/><Relationship Id="rId70" Type="http://schemas.openxmlformats.org/officeDocument/2006/relationships/hyperlink" Target="http://www.sec.gov/Archives/edgar/data/1661998/000119312523296880/d938280dex21.htm" TargetMode="External"/><Relationship Id="rId71" Type="http://schemas.openxmlformats.org/officeDocument/2006/relationships/hyperlink" Target="http://www.sec.gov/Archives/edgar/data/1661998/000119312518106196/d535307dex31.htm" TargetMode="External"/><Relationship Id="rId72" Type="http://schemas.openxmlformats.org/officeDocument/2006/relationships/hyperlink" Target="http://www.sec.gov/Archives/edgar/data/1661998/000119312524077930/d811189dex31.htm" TargetMode="External"/><Relationship Id="rId73" Type="http://schemas.openxmlformats.org/officeDocument/2006/relationships/hyperlink" Target="http://www.sec.gov/Archives/edgar/data/1661998/000119312524077930/d811189dex32.htm" TargetMode="External"/><Relationship Id="rId74" Type="http://schemas.openxmlformats.org/officeDocument/2006/relationships/hyperlink" Target="http://www.sec.gov/Archives/edgar/data/1661998/000119312525142039/d936533dex31.htm" TargetMode="External"/><Relationship Id="rId75" Type="http://schemas.openxmlformats.org/officeDocument/2006/relationships/hyperlink" Target="http://www.sec.gov/Archives/edgar/data/1661998/000119312520321448/d69248dex31.htm" TargetMode="External"/><Relationship Id="rId76" Type="http://schemas.openxmlformats.org/officeDocument/2006/relationships/hyperlink" Target="http://www.sec.gov/Archives/edgar/data/1661998/000119312526241846/d228038dex41.htm" TargetMode="External"/><Relationship Id="rId77" Type="http://schemas.openxmlformats.org/officeDocument/2006/relationships/hyperlink" Target="http://www.sec.gov/Archives/edgar/data/1661998/000119312524077930/d811189dex101.htm" TargetMode="External"/><Relationship Id="rId78" Type="http://schemas.openxmlformats.org/officeDocument/2006/relationships/hyperlink" Target="http://www.sec.gov/Archives/edgar/data/1661998/000119312526241846/d228038dex102.htm" TargetMode="External"/><Relationship Id="rId79" Type="http://schemas.openxmlformats.org/officeDocument/2006/relationships/hyperlink" Target="http://www.sec.gov/Archives/edgar/data/1661998/000119312524077930/d811189dex1013.htm" TargetMode="External"/><Relationship Id="rId80" Type="http://schemas.openxmlformats.org/officeDocument/2006/relationships/hyperlink" Target="http://www.sec.gov/Archives/edgar/data/1661998/000119312524077930/d811189dex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2026-06-25T16:00:29Z</dcterms:created>
  <dcterms:modified xsi:type="dcterms:W3CDTF">2026-06-25T16:00:29Z</dcterms:modified>
</cp:coreProperties>
</file>