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Q32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Boxer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3,149,310.00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3,149,310.00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3,149,310.00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Boxer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3,149,310.00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3,149,310.00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3,149,310.00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Boxer Holdings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3,149,310.00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3,149,310.00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3,149,310.00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Davis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3,149,310.00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3,149,310.00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3,149,310.00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Q32 Bio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 02451</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(collectively, the "Reporting Persons"): Boxer Capital Management, LLC ("Boxer Capital") Boxer Holdings, LP Boxer Holdings GP, LLC Aaron Davis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Reporting Person is: 12860 El Camino Real, Suite 300,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Boxer Capital Management, LLC is a Delaware LLC. Boxer Holdings, LP is a Delaware LP. Boxer Holdings GP, LLC is a Delaware LLC. Aaron Davis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securities of the Issuer beneficially owned by such Reporting Person as of June 30, 2026 and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securities of the Issuer beneficially owned by such Reporting Person as of June 30, 2026 and is incorporated by reference. Such percentage is based upon 23,681,415 shares of the Issuer's Common Stock outstanding, which is comprised of 16,956,415 shares out as of May 1, 2026, as reported in the Issuer's Quarterly Report on Form 10-Q filed with the Securities and Exchange Commission on May 5, 2026 plus 6,725,000 shares of common stock issued in the private placement of equity securities by the Issuer that closed on May 28, 2026.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Boxer Capital Management, LLC</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Aaron Davis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Boxer Capital Management, LLC, by Aaron Davis its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Boxer Holdings, LP</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Aaron Davis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Boxer Holdings, LP, by Boxer Holdings GP, LLC, its General Partner, by Aaron Davis its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Boxer Holdings GP, LLC</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Aaron Davis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Boxer Holdings GP, LLC by Aaron Davis, its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Aaron Davis</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Aaron Davis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By Aaron Davis, an individual</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1520</Words>
  <Characters>7641</Characters>
  <CharactersWithSpaces>9092</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