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Manke Isaac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Q32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Q32 Bio Inc.</w:t>
              </w:r>
            </w:hyperlink>
            <w:r>
              <w:rPr/>
              <w:t xml:space="preserve"> [ </w:t>
            </w:r>
            <w:r>
              <w:rPr>
                <w:rFonts w:ascii="Times;serif" w:hAnsi="Times;serif"/>
                <w:color w:val="0000FF"/>
                <w:sz w:val="24"/>
                <w:shd w:fill="FFFFFF" w:val="clear"/>
              </w:rPr>
              <w:t>QTTB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6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10,826</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amendment is being filed solely to amend the Form 4 filed on June 16, 2026 to correct the number of options awarded to the Reporting Person on June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shall vest and become exercisable in full upon the earlier of (i) June 12, 2027 or (ii) the date of the Issuer's next annual meeting of stockholders,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Bell,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769" TargetMode="External"/><Relationship Id="rId5" Type="http://schemas.openxmlformats.org/officeDocument/2006/relationships/hyperlink" Target="http://www.sec.gov/cgi-bin/browse-edgar?action=getcompany&amp;CIK=00016619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3458</Characters>
  <CharactersWithSpaces>4034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