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2"/>
            <w:vMerge w:val="restart"/>
          </w:tcPr>
          <w:p>
            <w:pPr>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TZIANABOS ARTHUR</w:t>
              </w:r>
            </w:hyperlink>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Q32 Bio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QTTB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80" w:type="dxa"/>
            <w:vAlign w:val="bottom"/>
            <w:tcBorders>
              <w:bottom w:val="single" w:sz="8" w:color="0000EE"/>
            </w:tcBorders>
            <w:gridSpan w:val="2"/>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26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5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60" w:type="dxa"/>
            <w:vAlign w:val="bottom"/>
            <w:vMerge w:val="restart"/>
          </w:tcPr>
          <w:p>
            <w:pPr>
              <w:ind w:left="100"/>
              <w:spacing w:after="0"/>
              <w:rPr>
                <w:sz w:val="20"/>
                <w:szCs w:val="20"/>
                <w:color w:val="auto"/>
              </w:rPr>
            </w:pPr>
            <w:r>
              <w:rPr>
                <w:rFonts w:ascii="Arial" w:cs="Arial" w:eastAsia="Arial" w:hAnsi="Arial"/>
                <w:sz w:val="13"/>
                <w:szCs w:val="13"/>
                <w:color w:val="auto"/>
              </w:rPr>
              <w:t>(First)</w:t>
            </w:r>
          </w:p>
        </w:tc>
        <w:tc>
          <w:tcPr>
            <w:tcW w:w="1560" w:type="dxa"/>
            <w:vAlign w:val="bottom"/>
            <w:vMerge w:val="restart"/>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26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Q32 BIO INC.</w:t>
            </w:r>
          </w:p>
        </w:tc>
        <w:tc>
          <w:tcPr>
            <w:tcW w:w="9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830 WINTER STREET</w:t>
            </w: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080" w:type="dxa"/>
            <w:vAlign w:val="bottom"/>
            <w:gridSpan w:val="2"/>
            <w:vMerge w:val="continue"/>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02451</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12.64</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06/12/2026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9,810</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9,810</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9,810</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shall vest and become exercisable in full upon the earlier of (i) June 12, 2027 or (ii) the date of the Issuer's next annual meeting of stockholders, subject to the Reporting Person's continued service on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Eric Bell, Attorney-in-Fact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w w:val="95"/>
              </w:rPr>
              <w:t>06/16/2026</w:t>
            </w:r>
          </w:p>
        </w:tc>
      </w:tr>
      <w:tr>
        <w:trPr>
          <w:trHeight w:val="20"/>
        </w:trPr>
        <w:tc>
          <w:tcPr>
            <w:tcW w:w="2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2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86226" TargetMode="External"/><Relationship Id="rId14" Type="http://schemas.openxmlformats.org/officeDocument/2006/relationships/hyperlink" Target="http://www.sec.gov/cgi-bin/browse-edgar?action=getcompany&amp;CIK=00016619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2026-06-16T15:32:39Z</dcterms:created>
  <dcterms:modified xsi:type="dcterms:W3CDTF">2026-06-16T15:32:39Z</dcterms:modified>
</cp:coreProperties>
</file>