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Q32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47-3468154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830 Winter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Waltham,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781 999-0232</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QTTB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During the 2026 Annual Meeting of Stockholders (the “Annual Meeting”) of Q32 Bio Inc. (the “Company”), the Company’s stockholders considered and voted on the three proposals set forth below, each of which is described in greater detail in the Company’s definitive proxy statement filed with the Securities and Exchange Commission on April 30, 2026 in connection with the Annual Meeting. Represented in person or by proxy at the Annual Meeting were 11,833,800 shares of the Company’s common stock, par value $0.0001 per share (“Common Stock”), out of 15,629,463 shares of Common Stock entitled to vote at the Annual Meeting, or 75.71% of the total number of shares of Common Stock outstanding as of April 15, 2026, the record date. The final voting results of the matters submitted to the stockholders’ vote are set forth below.</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Proposal No. 1 - Election of Class II Directors: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stockholders of the Company elected Kathleen LaPorte, Jodie Morrison, and Arthur Tzianabos, Ph.D., as Class II directors of the Company, for a three-year term ending at the annual meeting of stockholders to be held in 2029 and until his or her successor has been duly elected and qualified, or until his or her earlier death, resignation or removal. The results of the stockholders’ vote with respect to the election of the Class II directors were as follows:</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06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Votes For</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w w:val="99"/>
              </w:rPr>
              <w:t>Votes Withheld</w:t>
            </w:r>
          </w:p>
        </w:tc>
        <w:tc>
          <w:tcPr>
            <w:tcW w:w="1420" w:type="dxa"/>
            <w:vAlign w:val="bottom"/>
            <w:gridSpan w:val="2"/>
          </w:tcPr>
          <w:p>
            <w:pPr>
              <w:jc w:val="center"/>
              <w:ind w:left="256"/>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LaPorte</w:t>
            </w:r>
          </w:p>
        </w:tc>
        <w:tc>
          <w:tcPr>
            <w:tcW w:w="20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7,187,421</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1,428,633</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3,217,746</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Jodie Morrison</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8,591,626</w:t>
            </w:r>
          </w:p>
        </w:tc>
        <w:tc>
          <w:tcPr>
            <w:tcW w:w="1260" w:type="dxa"/>
            <w:vAlign w:val="bottom"/>
            <w:gridSpan w:val="2"/>
          </w:tcPr>
          <w:p>
            <w:pPr>
              <w:jc w:val="center"/>
              <w:ind w:left="276"/>
              <w:spacing w:after="0"/>
              <w:rPr>
                <w:sz w:val="20"/>
                <w:szCs w:val="20"/>
                <w:color w:val="auto"/>
              </w:rPr>
            </w:pPr>
            <w:r>
              <w:rPr>
                <w:rFonts w:ascii="Times New Roman" w:cs="Times New Roman" w:eastAsia="Times New Roman" w:hAnsi="Times New Roman"/>
                <w:sz w:val="18"/>
                <w:szCs w:val="18"/>
                <w:color w:val="auto"/>
              </w:rPr>
              <w:t>24,428</w:t>
            </w:r>
          </w:p>
        </w:tc>
        <w:tc>
          <w:tcPr>
            <w:tcW w:w="1420" w:type="dxa"/>
            <w:vAlign w:val="bottom"/>
            <w:gridSpan w:val="2"/>
          </w:tcPr>
          <w:p>
            <w:pPr>
              <w:jc w:val="center"/>
              <w:ind w:left="256"/>
              <w:spacing w:after="0"/>
              <w:rPr>
                <w:sz w:val="20"/>
                <w:szCs w:val="20"/>
                <w:color w:val="auto"/>
              </w:rPr>
            </w:pPr>
            <w:r>
              <w:rPr>
                <w:rFonts w:ascii="Times New Roman" w:cs="Times New Roman" w:eastAsia="Times New Roman" w:hAnsi="Times New Roman"/>
                <w:sz w:val="18"/>
                <w:szCs w:val="18"/>
                <w:color w:val="auto"/>
                <w:w w:val="99"/>
              </w:rPr>
              <w:t>3,217,746</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Tzianabos, Ph.D.</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8,310,837</w:t>
            </w:r>
          </w:p>
        </w:tc>
        <w:tc>
          <w:tcPr>
            <w:tcW w:w="1260" w:type="dxa"/>
            <w:vAlign w:val="bottom"/>
            <w:gridSpan w:val="2"/>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9"/>
              </w:rPr>
              <w:t>305,217</w:t>
            </w:r>
          </w:p>
        </w:tc>
        <w:tc>
          <w:tcPr>
            <w:tcW w:w="1420" w:type="dxa"/>
            <w:vAlign w:val="bottom"/>
            <w:gridSpan w:val="2"/>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3,217,746</w:t>
            </w:r>
          </w:p>
        </w:tc>
      </w:tr>
    </w:tbl>
    <w:p>
      <w:pPr>
        <w:spacing w:after="0" w:line="198"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No. 2 - Ratification of the Appointment of Ernst &amp; Young LLP as the Company’s Independent Registered Public Accounting Firm for the Fiscal Year Ending December 31, 2026:</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2026. The results of such vote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Votes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9"/>
        </w:trPr>
        <w:tc>
          <w:tcPr>
            <w:tcW w:w="22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11,821,046</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4,845</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Proposal No. 3 - Non-Binding, Advisory Vote on the Compensation of the Company’s Named Executive Officers:</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compensation of the Company’s named executive officers. The results of the stockholders’ vote with respect to such approval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Votes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9"/>
        </w:trPr>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8,072,067</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400,598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143,389</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3,217,746</w:t>
            </w:r>
          </w:p>
        </w:tc>
      </w:tr>
    </w:tbl>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Q32 BIO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Jodie Morrison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Jodie Morrison</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2026-06-16T15:03:43Z</dcterms:created>
  <dcterms:modified xsi:type="dcterms:W3CDTF">2026-06-16T15:03:43Z</dcterms:modified>
</cp:coreProperties>
</file>