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ttb-20260630.htm"/>
      <w:bookmarkStart w:id="1" w:name="ksqttb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001-38433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Q32 Bio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47-3468154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830 Winter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Waltham,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(781) 999-0232</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QTTB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3, 2026, the registrant had 29,769,466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our business strategy is subject to numerous risks that you should be aware of before making an investment decision. These risks include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no products approved for commercial sale, which may make it difficult for you to evaluate our current business and likelihood of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programs for the diseases we plan to address with bempikibart or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most advanced product candidate, bempikibart, and our clinical trials of our lead candidate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 to our business relationships with our licensors, we could lose license rights that are important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patents and other proprietary rights is uncertain, exposing us to the possible loss of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economic downturns, inflation, changes in interest rates, natural disasters, public health crises, political crises, government shutdowns, geopolitical events, or other macroeconomic conditions, which could have a material and adverse effect on our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in the supply and manufacture of our product candidates for our research, preclinical and clinical activities, and may do the same for commercial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attract and retain qualified key management and scientists, staff, consultants and advisors, our ability to implement our business plan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continued listing requirements of the Nasdaq Capital Market (“Nasdaq”) could result in a delisting of our securities.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the section titled “Risk Factors” and the other information set forth in this Quarterly Report on Form 10-Q, including our consolidated financial statements and the related notes, as well as in other documents that we file with the U.S. Securities and Exchange Commission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statements that are not historical facts and are considered forward-looking within the meaning of Section 27A of the Securities Act of 1933, as amended (the “Securities Act”), and Section 21E of the Securities Exchange Act of 1934, as amended (the “Exchange Act”). These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sustain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future expenses, revenues, capital requirements, cash runway, and our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and anticipated use of our existing cash and cash equivalents;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regulatory, preclinical and clinical progress of our product candidates, including bempikibart, and our anticipated milestones, timing of anticipated registrational trials, and timing of data readouts;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and maintain market acceptance and adoption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or the commercial or market opportunity with respect to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patent protection for our product candidates and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compete against other companies developing similar products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retain our key executives and to attract and retain highly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protect against cyber-attacks, security breaches and other disruptions to our information technology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an effective system of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unfavorable macroeconomic conditions or market volatility resulting from global economic conditions or geopolitical developments, including fluctuating interest rates and inflation and capital market disruptions, changes in governmental agencies, government shutdowns, international tariffs, trade protection measures, public health crises, economic sanctions and potential economic slowdowns or recessions, or similar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in the supply and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applicable laws and regulations, whether in the U.S. or foreign jurisdictions, and any changes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changes in the policies or regulations of the U.S. Food and Drug Administration or comparable foreign regulatory authorities regarding development, approval, and marketing of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except as otherwise required by applicable law, we do not undertake any obligation to update forward-looking statements to reflect events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circumstances after the date they were made, whether as a result of new information, future events or otherwise, except as may be required under applicable securities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Quarterly Report on Form 10-Q in the section titled “Risk Factors” and in our periodic filings with the SEC. Our SEC filings are available publicly on the SEC’s website at www.sec.gov. Given these risks and uncertainties, you should not place undue reliance on these forward-looking statements. Should one or more of the risks or uncertainties described in this Quarterly Report on Form 10-Q, or should underlying assumptions prove incorrect, actual results and plans could differ materially from those expressed in any forward-looking statements. We qualify all of our forward-looking statements by these cautionary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on Form 10-Q, and we believe these industry publications and third-party research, surveys and studies are reliable.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8864"/>
        <w:gridCol w:w="512"/>
      </w:tblGrid>
      <w:tr>
        <w:trPr/>
        <w:tc>
          <w:tcPr>
            <w:tcW w:w="829" w:type="dxa"/>
            <w:tcBorders/>
            <w:vAlign w:val="center"/>
          </w:tcPr>
          <w:p>
            <w:pPr>
              <w:pStyle w:val="TableContents"/>
              <w:bidi w:val="0"/>
              <w:spacing w:before="0" w:after="283"/>
              <w:jc w:val="left"/>
              <w:rPr>
                <w:sz w:val="4"/>
                <w:szCs w:val="4"/>
              </w:rPr>
            </w:pPr>
            <w:r>
              <w:rPr>
                <w:sz w:val="4"/>
                <w:szCs w:val="4"/>
              </w:rPr>
            </w:r>
          </w:p>
        </w:tc>
        <w:tc>
          <w:tcPr>
            <w:tcW w:w="886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_deficit">
              <w:r>
                <w:rPr>
                  <w:rStyle w:val="InternetLink"/>
                  <w:rFonts w:ascii="Times New Roman" w:hAnsi="Times New Roman"/>
                  <w:color w:val="0000FF"/>
                  <w:sz w:val="20"/>
                  <w:u w:val="single"/>
                </w:rPr>
                <w:t>Condensed Consolidated Statements of Stockholders’ Equity (Deficit)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
              <w:r>
                <w:rPr>
                  <w:rStyle w:val="InternetLink"/>
                  <w:rFonts w:ascii="Times New Roman" w:hAnsi="Times New Roman"/>
                  <w:color w:val="0000FF"/>
                  <w:sz w:val="20"/>
                  <w:u w:val="single"/>
                </w:rPr>
                <w:t>Condensed 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unregistered_sales_equity_securiti">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6_exhibit">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rFonts w:ascii="Times New Roman" w:hAnsi="Times New Roman"/>
          <w:sz w:val="20"/>
        </w:rPr>
      </w:pPr>
      <w:r>
        <w:rPr>
          <w:rFonts w:ascii="Times New Roman" w:hAnsi="Times New Roman"/>
          <w:b/>
          <w:color w:val="000000"/>
          <w:sz w:val="20"/>
        </w:rPr>
        <w:t>Q32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627" w:type="dxa"/>
        <w:jc w:val="left"/>
        <w:tblInd w:w="0" w:type="dxa"/>
        <w:tblLayout w:type="fixed"/>
        <w:tblCellMar>
          <w:top w:w="28" w:type="dxa"/>
          <w:left w:w="28" w:type="dxa"/>
          <w:bottom w:w="28" w:type="dxa"/>
          <w:right w:w="28" w:type="dxa"/>
        </w:tblCellMar>
      </w:tblPr>
      <w:tblGrid>
        <w:gridCol w:w="6411"/>
        <w:gridCol w:w="146"/>
        <w:gridCol w:w="211"/>
        <w:gridCol w:w="841"/>
        <w:gridCol w:w="166"/>
        <w:gridCol w:w="146"/>
        <w:gridCol w:w="219"/>
        <w:gridCol w:w="876"/>
        <w:gridCol w:w="611"/>
      </w:tblGrid>
      <w:tr>
        <w:trPr/>
        <w:tc>
          <w:tcPr>
            <w:tcW w:w="6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Venture debt,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Venture 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no shares</w:t>
              <w:br/>
              <w:t>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400,000,000 shares authorized,</w:t>
              <w:br/>
              <w:t>   23,736,600 and 12,858,047 shares issued and outstanding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Q32 BIO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Q32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ockholder_deficit"/>
      <w:bookmarkEnd w:id="6"/>
      <w:r>
        <w:rPr>
          <w:rFonts w:ascii="Times New Roman" w:hAnsi="Times New Roman"/>
          <w:b/>
          <w:color w:val="000000"/>
          <w:sz w:val="18"/>
        </w:rPr>
        <w:t>CONDENSED CONSOLIDATED STATEMENTS OF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(amounts in thousands,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959" w:type="dxa"/>
        <w:jc w:val="left"/>
        <w:tblInd w:w="0" w:type="dxa"/>
        <w:tblLayout w:type="fixed"/>
        <w:tblCellMar>
          <w:top w:w="28" w:type="dxa"/>
          <w:left w:w="28" w:type="dxa"/>
          <w:bottom w:w="28" w:type="dxa"/>
          <w:right w:w="28" w:type="dxa"/>
        </w:tblCellMar>
      </w:tblPr>
      <w:tblGrid>
        <w:gridCol w:w="3201"/>
        <w:gridCol w:w="146"/>
        <w:gridCol w:w="146"/>
        <w:gridCol w:w="1036"/>
        <w:gridCol w:w="146"/>
        <w:gridCol w:w="146"/>
        <w:gridCol w:w="261"/>
        <w:gridCol w:w="430"/>
        <w:gridCol w:w="146"/>
        <w:gridCol w:w="146"/>
        <w:gridCol w:w="211"/>
        <w:gridCol w:w="781"/>
        <w:gridCol w:w="146"/>
        <w:gridCol w:w="146"/>
        <w:gridCol w:w="211"/>
        <w:gridCol w:w="841"/>
        <w:gridCol w:w="166"/>
        <w:gridCol w:w="146"/>
        <w:gridCol w:w="244"/>
        <w:gridCol w:w="852"/>
        <w:gridCol w:w="41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8"/>
        <w:gridCol w:w="146"/>
        <w:gridCol w:w="146"/>
        <w:gridCol w:w="1036"/>
        <w:gridCol w:w="146"/>
        <w:gridCol w:w="146"/>
        <w:gridCol w:w="261"/>
        <w:gridCol w:w="430"/>
        <w:gridCol w:w="146"/>
        <w:gridCol w:w="146"/>
        <w:gridCol w:w="211"/>
        <w:gridCol w:w="781"/>
        <w:gridCol w:w="146"/>
        <w:gridCol w:w="146"/>
        <w:gridCol w:w="211"/>
        <w:gridCol w:w="841"/>
        <w:gridCol w:w="166"/>
        <w:gridCol w:w="146"/>
        <w:gridCol w:w="227"/>
        <w:gridCol w:w="846"/>
        <w:gridCol w:w="393"/>
      </w:tblGrid>
      <w:tr>
        <w:trPr/>
        <w:tc>
          <w:tcPr>
            <w:tcW w:w="3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and pre-funded warrants</w:t>
              <w:br/>
              <w:t>   in Registered Direct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14,629,463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and pre-funded warrants</w:t>
              <w:br/>
              <w:t>   in private placement,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pursuant to at-the-market</w:t>
              <w:br/>
              <w:t>   offering, net of discounts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Q32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ash_flow"/>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886"/>
        <w:gridCol w:w="146"/>
        <w:gridCol w:w="211"/>
        <w:gridCol w:w="781"/>
        <w:gridCol w:w="166"/>
        <w:gridCol w:w="146"/>
        <w:gridCol w:w="211"/>
        <w:gridCol w:w="736"/>
        <w:gridCol w:w="611"/>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issuance costs, net of 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venture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impairment of equity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CVR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payments on venture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Payoff of venture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w:t>
              <w:br/>
              <w:t>   in Registered Direct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w:t>
              <w:br/>
              <w:t>   in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pursuant to at-the-market</w:t>
              <w:br/>
              <w:t>   offering, net of discounts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cash equivalents, restricted cash and</w:t>
              <w:br/>
              <w:t>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and restricted cash equivalents</w:t>
              <w:br/>
              <w:t>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and restricted cash equivalents</w:t>
              <w:br/>
              <w: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operating, investing and</w:t>
              <w:br/>
              <w:t>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 on venture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 included in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Q32 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consolidated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1. Nature of the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Q32 Bio Inc. (“Q32” or the “Company”) is a clinical stage biotechnology company focused on developing innovative therapies for alopecia areata (“AA”) and other autoimmune and inflammatory diseases. The Company is advancing bempikibart (ADX-914), a fully human anti-IL-7Rα antibody that re-regulates adaptive immune function, for the treatment of AA in an ongoing Phase 2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Follow-On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16, 2026, pursuant to a shelf registration statement on Form S-3 (File No. 333-297027), the Company completed a public offering (the “Follow-On Financing”) wherein the Company sold 6,027,399 shares of its common stock, par value $0.0001 per share (the “common stock”), at a public offering price of $18.25 per share and pre-funded warrants to purchase up to 4,931,506 shares of its common stock at a public offering price of $18.2499 per pre-funded warrant. The Company received net proceeds of $187.6 million from the Follow-On Financing, after deducting underwriting discounts and commissions and offering expenses. In addition, the Company granted the underwriters a 30-day option to purchase up to an additional 1,643,835 shares of its common stock at the public offering price of $18.25 per share, less underwriting discounts and commissions.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28, 2026, the Company completed a private placement (the “Private Placement”) of its common stock and pre-funded warrants to purchase shares of common stock. The Company sold 6,725,000 shares of its common stock at a price of $8.00 per share and pre-funded warrants to purchase up to 150,000 shares of its common stock at a price of $7.9999 per pre-funded warrant and received net proceeds of $53.4 million, after deducting placement agent fees and other offering expenses (see Note 3 for details surrounding the accounting for the pre-funded warrants).</w:t>
      </w:r>
    </w:p>
    <w:p>
      <w:pPr>
        <w:pStyle w:val="TextBody"/>
        <w:bidi w:val="0"/>
        <w:spacing w:before="360" w:after="283"/>
        <w:jc w:val="left"/>
        <w:rPr>
          <w:rFonts w:ascii="Times New Roman" w:hAnsi="Times New Roman"/>
          <w:sz w:val="20"/>
        </w:rPr>
      </w:pPr>
      <w:r>
        <w:rPr>
          <w:rFonts w:ascii="Times New Roman" w:hAnsi="Times New Roman"/>
          <w:b/>
          <w:i/>
          <w:color w:val="000000"/>
          <w:sz w:val="20"/>
        </w:rPr>
        <w:t>ATM Offering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March 27, 2026,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(the “Sales Agent”), with respect to an at-the-market (“ATM”) offering program pursuant to which the Company may offer and sell, from time to time at its sole discretion, shares of its common stock through the Sales Agent. The shares offered and sold under the Sales Agreement are offered and sold pursuant to a shelf registration statement on Form S-3 (File No. 333-286491), which was filed with the SEC on April 11, 2025 and declared effective by the SEC on April 21, 2025 (the “2025 Shelf”). The Company filed a prospectus supplement with the SEC on March 27, 2026, pursuant to which the Company may offer and sell shares of common stock having an aggregate offering price of up to $14.2 million pursuant to the Sales Agreement. During the six months ended June 30, 2026, the Company sold 2,326,952 shares of its common stock and received gross proceeds of $14.2 million pursuant to the ATM. On April 24, 2026, the Company filed an additional prospectus supplement with the SEC, pursuant to which the Company may offer and sell additional shares having an aggregate offering price of up to $75 million pursuant to the Sales Agreement. As of June 30, 2026, there have been no shares sold under this additional prospectus supplement.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Registered Direct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19, 2026, pursuant to the 2025 Shelf, the Company sold 1,666,679 shares of its common stock at a price of $3.90 per share and pre-funded warrants to purchase up to 1,025,654 shares of its common stock at a price of $3.8999 per pre-funded warrant and received net proceeds of $10.4 million after deducting offering expenses (see Note 3 for details surrounding the accounting for the pre-funded warrants).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early-stage companies in the biotechnology industry, including but not limited to, risks associated with completing preclinical studies and clinical trials, obtaining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will need to obtain regulatory approval prior to commercialization. These efforts require significant amounts of additional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personnel and infrastructure and extensive compliance-reporting capabilities. Even if the Company’s product development efforts are successful, it is uncertain when, if ever, the Company will realize revenue from product sales. Since its inception, the Company’s operations have been focused on organizing and staffing, business planning, raising capital, establishing the Company’s intellectual property portfolio and performing research and development of its product candidates, programs and platform. The Company has primarily funded its operations with proceeds from the sale of convertible preferred stock, convertible notes, venture debt, the Company’s reverse merger (the “Merger”) with Homology Medicines, Inc. (“Homology”) and accompanying Pre-Closing Financing and its former collaboration arrangement with Horizon.</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the Financial Accounting Standards Board (“FASB”) Accounting Standards Update (“ASU”) 2014-15, </w:t>
      </w:r>
      <w:r>
        <w:rPr>
          <w:rFonts w:ascii="Times New Roman" w:hAnsi="Times New Roman"/>
          <w:i/>
          <w:color w:val="000000"/>
          <w:sz w:val="20"/>
        </w:rPr>
        <w:t>Disclosure of Uncertainties about an Entity’s ability to Continue as a Going Concern (Subtopic 205-40)</w:t>
      </w:r>
      <w:r>
        <w:rPr>
          <w:rFonts w:ascii="Times New Roman" w:hAnsi="Times New Roman"/>
          <w:color w:val="000000"/>
          <w:sz w:val="20"/>
        </w:rPr>
        <w:t xml:space="preserve">, the Company has evaluated whether there are conditions and events, considered in the aggregate, that raise substantial doubt about the Company’s ability to continue as a going concern within one year after the date that the condensed consolidated financial statements are 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an accumulated deficit of $221.5 million and cash and cash equivalents of $106.3 million. The Company expects that its cash and cash equivalents will be sufficient to fund its operating expenditures and capital expenditure requirements necessary to advance its research efforts and clinical trials for at least one year from the date of issuance of these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incurred recurring operating losses since its inception. During the six months ended June 30, 2026, the Company incurred a net loss of $16.6 million. The Company expects its operating losses and negative operating cash flows to continue into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by the Company in conformity with GAAP and pursuant to the rules and regulations of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consolidated financial statements and the notes thereto for the year ended December 31, 2025, included in the Company's Annual Report on Form 10-K filed with the SEC on March 10,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on the same basis as the audited consolidated financial statements. In the opinion of management, the accompanying unaudited condensed consolidated financial statements contain all adjustments, including those adjustments that are normal and recurring in nature, which are necessary for a fair statement of the Company’s financial position as of June 30, 2026, and consolidated results of operations for the three and six months ended June 30, 2026 and 2025, and cash flows for the six months ended June 30, 2026 and 2025. The results of operations for the three and six months ended June 30, 2026 are not necessarily indicative of the results of operations that may be expected for the year ending December 31, 2026 or for any future period.</w:t>
      </w:r>
    </w:p>
    <w:p>
      <w:pPr>
        <w:pStyle w:val="TextBody"/>
        <w:bidi w:val="0"/>
        <w:spacing w:before="36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include those of the Company and its wholly-owned subsidiaries. All intercompany balances and transactions have been eliminated in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unaudited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and assumptions reflected in these unaudited condensed consolidated financial statements include, but are not limited to prepaid and accrued research and development expenses. The Company utilizes certain estimates to record expenses relating to research and development contracts. These contract estimates, which are primarily related to the length of service of each contract and the amount of service provided as of each measurement date, are determined by the Company based on input from internal project management, as well as from service providers. Estimates are periodically reviewed considering changes in circumstances, facts and historical experience. Actual results may differ from the Company’s estimates.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Concentrations of Credit Risk and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expose the Company to credit risk primarily consist of cash, cash equivalents, restricted cash and restricted cash equivalents. The Company maintains its cash, cash equivalents, restricted cash and restricted cash equivalents balances with accredited financial institutions and, consequently, the Company does not believe it is subject to unusual credit risk beyond the normal credit risk associated with commercial banking relationships.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cash management limits investment to investment-grade securities with the objective to preserve capital and to maintain liquidity until the funds can be used in business operations. The Company maintains its cash in bank deposit accounts that are Federal Deposit Insurance Corporation (“FDIC”) insured up to $250,000. At times, the Company’s bank accounts may exceed the federal insurance limit.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dependent on contract development and manufacturing organizations (“CDMOs”) to supply products for research and development activities in its programs. In particular, the Company relies and expects to continue to rely on a small number of manufacturers to supply it with its requirements for the active pharmaceutical ingredients, other raw materials and formulated drugs related to these programs. These programs could be adversely affected by a significant interruption in the supply of active pharmaceutical ingredients, other raw materials and formulated drugs. The Company is also dependent on contract research organizations (“CROs”) which provide services related to the research and development activities in its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includes net loss as well as other changes in stockholders’ equity (deficit) that result from transactions and economic events other than those with stockholders.</w:t>
      </w:r>
    </w:p>
    <w:p>
      <w:pPr>
        <w:pStyle w:val="TextBody"/>
        <w:bidi w:val="0"/>
        <w:spacing w:before="360" w:after="283"/>
        <w:jc w:val="left"/>
        <w:rPr>
          <w:rFonts w:ascii="Times New Roman" w:hAnsi="Times New Roman"/>
          <w:sz w:val="20"/>
        </w:rPr>
      </w:pPr>
      <w:r>
        <w:rPr>
          <w:rFonts w:ascii="Times New Roman" w:hAnsi="Times New Roman"/>
          <w:b/>
          <w:i/>
          <w:color w:val="000000"/>
          <w:sz w:val="20"/>
        </w:rPr>
        <w:t>Cash, Cash Equivalents, Restricted Cash and Restricted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that are readily convertible into cash with maturities of three months or less at the date of purchase to be cash equivalents. Cash equivalents are comprised of money market accounts invested in U.S. Treasury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Restricted cash and restricted cash equivalents are comprised of deposits held by financial institutions as collateral for the Company’s venture debt and used to collateralize letters of credit related to the Company’s lease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includes the restricted cash and restricted cash equivalents balance together with its cash and cash equivalents when reconciling beginning-of-period and end-of-period total amounts shown on the consolidated statements of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cash equivalents, restricted cash and restricted cash equivalents consisted of the following (in thousands): </w:t>
      </w:r>
    </w:p>
    <w:p>
      <w:pPr>
        <w:pStyle w:val="TextBody"/>
        <w:bidi w:val="0"/>
        <w:jc w:val="left"/>
        <w:rPr/>
      </w:pPr>
      <w:r>
        <w:rPr/>
        <w:t> </w:t>
      </w:r>
    </w:p>
    <w:tbl>
      <w:tblPr>
        <w:tblW w:w="7294" w:type="dxa"/>
        <w:jc w:val="left"/>
        <w:tblInd w:w="0" w:type="dxa"/>
        <w:tblLayout w:type="fixed"/>
        <w:tblCellMar>
          <w:top w:w="28" w:type="dxa"/>
          <w:left w:w="28" w:type="dxa"/>
          <w:bottom w:w="28" w:type="dxa"/>
          <w:right w:w="28" w:type="dxa"/>
        </w:tblCellMar>
      </w:tblPr>
      <w:tblGrid>
        <w:gridCol w:w="4786"/>
        <w:gridCol w:w="146"/>
        <w:gridCol w:w="211"/>
        <w:gridCol w:w="781"/>
        <w:gridCol w:w="146"/>
        <w:gridCol w:w="146"/>
        <w:gridCol w:w="211"/>
        <w:gridCol w:w="676"/>
        <w:gridCol w:w="1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restricted cash and restricted</w:t>
              <w:br/>
              <w:t>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Deferred Transaction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certain legal, professional accounting and other third-party fees that are directly associated with in-process equity financings as deferred transaction costs until such financings are consummated. After consummation of an equity financing, these costs are recorded as a reduction of the proceeds from the transaction, either as a reduction of the carrying value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preferred stock or in stockholders’ deficit as a reduction of additional paid-in capital generated as a result of the transaction. Should the in-process equity financing be abandoned, the deferred transaction costs would be expensed immediately as a charge to operating expenses in the condensed consolidated statements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1 – </w:t>
      </w:r>
      <w:r>
        <w:rPr>
          <w:rFonts w:ascii="Times New Roman" w:hAnsi="Times New Roman"/>
          <w:color w:val="000000"/>
          <w:sz w:val="20"/>
        </w:rPr>
        <w:t xml:space="preserve">Quoted prices in active markets for identical assets or liabilities.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2 – </w:t>
      </w:r>
      <w:r>
        <w:rPr>
          <w:rFonts w:ascii="Times New Roman" w:hAnsi="Times New Roman"/>
          <w:color w:val="000000"/>
          <w:sz w:val="20"/>
        </w:rPr>
        <w:t xml:space="preserve">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3 – </w:t>
      </w:r>
      <w:r>
        <w:rPr>
          <w:rFonts w:ascii="Times New Roman" w:hAnsi="Times New Roman"/>
          <w:color w:val="000000"/>
          <w:sz w:val="20"/>
        </w:rPr>
        <w:t xml:space="preserve">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whether an arrangement is or contains a lease at contract inception. If a contract is or contains a lease, lease classification is determined at lease commencement, which represents the date at which the underlying asset is made available for use by the Company. The Company’s lease terms are generally measured at the respective lease’s noncancelable term and exclude any optional extension terms as the Company is not reasonably certain to exercise such options. The Company elected the short-term lease exemption and therefore does not recognize lease liabilities and right of use assets for lease arrangements with original lease terms of twelve months or less.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 liabilities represent the Company’s obligation to make lease payments under a lease arrangement. Lease liabilities are measured as the present value of fixed lease payments, discounted using an incremental borrowing rate, as interest rates implicit in the Company’s lease arrangements are generally not readily determinable. The Company elected the practical expedient to not separate lease and non-lease components for its real estate leases and therefore both are considered when determining the lease payments in a lease arrangement. Variable lease costs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incremental borrowing rate represents the interest rate at which the Company could borrow a fully collateralized amount equal to the lease payments, over a similar term, in a similar economic environment. The Company determines the incremental borrowing rate at lease commencement, generally using a synthetic credit rating based on the Company’s financial position and negative cash flows, factoring in adjustments for additional risks based on the Company’s economic condition, a survey of comparable companies with similar credit and financial profiles, as well as additional market risks, as may be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Right-of-use assets represent the Company’s right to use an underlying asset over its lease term. Right-of-use assets are initially measured as the associated lease liability, adjusted for prepaid rent and tenant incentives. 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agreement and the increase in lease payments is commensurate with the additional right of use. The Company assesses its right-of-use assets for impairment consistent with its policy for impairment of long-lived assets held and used in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Subsequent Event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events or transactions that occur after the balance sheet date but prior to the issuance of the financial statements to provide additional evidence for certain estimates or to identify matters that require additional disclosure. The Company has evaluated events occurring after the date of its consolidated balance sheet through the date these condensed consolidated financial statements were issued (see Note 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Standards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Disclosures (Subtopic 220-40)—Disaggregation of Income Statement Expenses</w:t>
      </w:r>
      <w:r>
        <w:rPr>
          <w:rFonts w:ascii="Times New Roman" w:hAnsi="Times New Roman"/>
          <w:color w:val="000000"/>
          <w:sz w:val="20"/>
        </w:rPr>
        <w:t xml:space="preserve"> (“ASU 2024-03”) which is intended to improve disclosures about a public business entity's expenses, primarily through additional disaggregation of income statement expenses. ASU 2024-03 is effective for annual periods beginning after December 15, 2026, and interim periods beginning after December 15, 2027, with early adoption permitted. The amendments in ASU 2024-03 should be applied either prospectively to financial statements issued for reporting periods after the effective date or retrospectively to any or all prior periods presented in the financial statements. The Company is currently evaluating ASU 2024-03 to determine the impact on the Company's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Pre-Funded Warrants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February 19, 2026, as part of the registered direct offering, the Company issued pre-funded warrants to purchase up to 1,025,654 shares of its common stock to a certain institutional investor at a price of $3.8999 per pre-funded warrant for gross proceeds of approximately $4.0 million. On May 28, 2026, as part of the Private Placement, the Company issued pre-funded warrants to purchase up to 150,000 shares of its common stock to a certain institutional investor at a price of $7.9999 per pre-funded warrant for gross proceeds of approximately $1.2 million. The pre-funded warrants have an exercise price of $0.0001 per share and may be exercised at any time after the original issuance date. A holder of a pre-funded warrant may not exercise such pre-funded warrant if the holder, together with its affiliates, would beneficially own more than 9.99% of the number of shares of the Company’s common stock outstanding immediately after giving effect to such exercise. As of June 30, 2026, the pre-funded warrants have not been exercised.</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Company classified the pre-funded warrants as a component of permanent equity in its condensed consolidated balance sheet as they are freestanding financial instruments that are immediately exercisable, do not embody an obligation for the Company to repurchase its own shares, cannot require cash settlement and permit the holder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any time after the original issuance date of the pre-funded warrants.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Sale of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28, 2025, the Company entered into an Asset Purchase Agreement (the “Asset Purchase Agreement”) with Q32 Bio Operations Inc., a wholly-owned subsidiary of the Company (“Q32 Bio Operations” and, together with the Company, the “Seller”), and Akebia Therapeutics, Inc. (“Akebia”) pursuant to which the Seller sold to Akebia substantially all of the Seller’s assets related to the research, development, manufacture and commercialization of ADX-097 (the “ADX-097 Asset Sale”). As consideration for the ADX-097 Asset Sale, the Company received an upfront payment of $7.0 million on November 28, 2025, and a payment of $3.0 million on the six-month anniversary of the closing, or May 28, 2026. The Company will also receive a near-term milestone payment of $2.0 million upon the earlier of achievement of the first milestone under the Asset Purchase Agreement or December 31, 2026. In addition to these payments, the Company is eligible to receive up to $580.0 million upon the achievement of additional specified milestones, including up to $92.5 million related to development and regulatory milestones and up to $487.5 million related to commercial milestones. The Company is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accounted for the transaction as an asset sale and recognized $11.7 million, comprised of $12.0 million in guaranteed upfront and near-term milestones less certain contractual offsets, as a gain on sale of asset included in other income (expense) in the consolidated statements of operations for the year ended December 31, 2025. The guaranteed near-term milestone payments less certain contractual offsets of $4.8 million were recorded as a short-term receivable included in prepaid expenses and other current assets on the Company’s condensed consolidated balance sheets, and as of June 30, 2026, the balance was $1.8 million. Any future milestones and royalties will be recognized when achieved.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28, 2025, in connection with the ADX-097 Asset Sale, the Colorado License Agreement (defined in Note 10)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amended and restated and all of the Company’s rights and obligations thereunder were transferred to Akebia.</w:t>
      </w:r>
    </w:p>
    <w:p>
      <w:pPr>
        <w:pStyle w:val="TextBody"/>
        <w:bidi w:val="0"/>
        <w:spacing w:before="360" w:after="283"/>
        <w:jc w:val="left"/>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values of the Company’s prepaid expenses and other current assets, accounts payable, and accrued expenses and other current liabilities approximate their fair value due to their short-term nature. The carrying value of the Company’s term loan as of June 30, 2026 (see Note 11) approximated fair value based on interest rates currently available to the Company.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tables below present information about the Company’s assets that are regularly measured and carried at fair value on a recurring basis at June 30, 2026 and December 31, 2025 and indicate the level within the fair value hierarchy of the valuation techniques the Company utilized to determine such fair value, which is described further within Note 2, </w:t>
      </w:r>
      <w:r>
        <w:rPr>
          <w:rFonts w:ascii="Times New Roman" w:hAnsi="Times New Roman"/>
          <w:i/>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assets measured at fair value on a recurring basis as of June 30, 2026 are summarized as follows (in thousands):</w:t>
      </w:r>
    </w:p>
    <w:p>
      <w:pPr>
        <w:pStyle w:val="TextBody"/>
        <w:bidi w:val="0"/>
        <w:jc w:val="left"/>
        <w:rPr/>
      </w:pPr>
      <w:r>
        <w:rPr/>
        <w:t> </w:t>
      </w:r>
    </w:p>
    <w:tbl>
      <w:tblPr>
        <w:tblW w:w="8388" w:type="dxa"/>
        <w:jc w:val="left"/>
        <w:tblInd w:w="0" w:type="dxa"/>
        <w:tblLayout w:type="fixed"/>
        <w:tblCellMar>
          <w:top w:w="28" w:type="dxa"/>
          <w:left w:w="28" w:type="dxa"/>
          <w:bottom w:w="28" w:type="dxa"/>
          <w:right w:w="28" w:type="dxa"/>
        </w:tblCellMar>
      </w:tblPr>
      <w:tblGrid>
        <w:gridCol w:w="2431"/>
        <w:gridCol w:w="146"/>
        <w:gridCol w:w="239"/>
        <w:gridCol w:w="886"/>
        <w:gridCol w:w="146"/>
        <w:gridCol w:w="146"/>
        <w:gridCol w:w="211"/>
        <w:gridCol w:w="781"/>
        <w:gridCol w:w="146"/>
        <w:gridCol w:w="146"/>
        <w:gridCol w:w="352"/>
        <w:gridCol w:w="579"/>
        <w:gridCol w:w="146"/>
        <w:gridCol w:w="146"/>
        <w:gridCol w:w="415"/>
        <w:gridCol w:w="681"/>
        <w:gridCol w:w="7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Unobservable</w:t>
              <w:br/>
              <w:t>Inputs</w:t>
              <w:br/>
              <w:t>(Level 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Financial assets measured at fair value on a recurring basis as of December 31, 2025 are summarized as follows (in thousands): </w:t>
      </w:r>
    </w:p>
    <w:p>
      <w:pPr>
        <w:pStyle w:val="TextBody"/>
        <w:bidi w:val="0"/>
        <w:jc w:val="left"/>
        <w:rPr/>
      </w:pPr>
      <w:r>
        <w:rPr/>
        <w:t> </w:t>
      </w:r>
    </w:p>
    <w:tbl>
      <w:tblPr>
        <w:tblW w:w="8658" w:type="dxa"/>
        <w:jc w:val="left"/>
        <w:tblInd w:w="0" w:type="dxa"/>
        <w:tblLayout w:type="fixed"/>
        <w:tblCellMar>
          <w:top w:w="28" w:type="dxa"/>
          <w:left w:w="28" w:type="dxa"/>
          <w:bottom w:w="28" w:type="dxa"/>
          <w:right w:w="28" w:type="dxa"/>
        </w:tblCellMar>
      </w:tblPr>
      <w:tblGrid>
        <w:gridCol w:w="2431"/>
        <w:gridCol w:w="146"/>
        <w:gridCol w:w="357"/>
        <w:gridCol w:w="1143"/>
        <w:gridCol w:w="146"/>
        <w:gridCol w:w="146"/>
        <w:gridCol w:w="211"/>
        <w:gridCol w:w="676"/>
        <w:gridCol w:w="146"/>
        <w:gridCol w:w="146"/>
        <w:gridCol w:w="352"/>
        <w:gridCol w:w="579"/>
        <w:gridCol w:w="146"/>
        <w:gridCol w:w="146"/>
        <w:gridCol w:w="415"/>
        <w:gridCol w:w="681"/>
        <w:gridCol w:w="7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Unobservable</w:t>
              <w:br/>
              <w:t>Inputs</w:t>
              <w:br/>
              <w:t>(Level 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Money market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were valued by the Company using quoted prices in active markets for identical securities, which represent a Level 1 measurement within the fair value hierarchy.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CVR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2024, the effective date of the Merger, each person who as of immediately prior to the effective time of the Merger was a stockholder of record of Homology or had the right to receive Homology’s common stock received a contractual contingent value right (“CVR”), issued by Homology subject to and in accordance with the terms and conditions of a Contingent Value Rights Agreement between Homology and the rights agent (the “CVR Agreement”), representing the contractual right to receive cash payments from the combined company upon the receipt of certain proceeds from a disposition of Homology’s pre-merger assets, calculated in accordance with the CVR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concluded that the CVR liability was a derivative liability and was accounted for at fair value. The fair value of the CVR liability was based on significant unobservable inputs, which represent Level 3 measurements within the fair value hierarchy. For the portion of the CVR liability that was related to Homology's equity interest in OXB (US) LLC, the Company utilized a Monte Carlo simulation model, also known as a probability simulation, to estimate the fair value of the CVR liability at December 31, 2024. This model requires the use of estimates and assumptions including estimated future revenues and discount rates. Upon Oxford Biomedica (US), Inc.'s exercise of its option to cause the Company to sell and transfer to Oxford Biomedica (US), Inc. all of the Company’s equity ownership interest in OXB (US) LLC in June 2025, the Company received proceeds from Oxford Biomedica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 and then remitted those proceeds to the CVR holders, and subsequently removed the associated CVR liability and recorded $0.4 million for the change in estimated fair value during the twelve months ended December 31, 2025 in 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portion of the CVR liability related to Homology's HMI-103, HMI-204, capsids and AAVHSC platform, the Company's fair value assessment includes judgments around the probability of progressing the in-process research and development assets. As of June 30, 2026, the Company's assessment resulted in a CVR liability of zero.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and 2025, there were no transfers between Level 1, Level 2 and Level 3 measurements. There have been no impairments of the Company’s assets measured and carried at fair value during the three and six months ended June 30, 2026 and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Investment in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Merger, the Company obtained Homology's 20% equity interest in OXB (US) LLC, an AAV vector process development and manufacturing services company. At that time, the Company had significant influence over, but did not control, OXB (US) LLC through its noncontrolling representation on OXB (US) LLC’s board of directors and the Company’s equity interest in OXB (US) LLC. Accordingly, the Company did not consolidate the financial statements of OXB (US) LLC and accounted for its investment using the equity method of accounting.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May 2024, as a result of transactions by OXB (US) LLC, the Company’s investment was diluted to a 10% equity interest in OXB (US) LLC and the Company no longer had the ability to exert significant influence over the operating and financial policies of OXB (US) LLC, therefore the Company discontinued the equity method of accounting for the investment in OXB (US) LLC and determined the remaining investment to be an equity security accounted for in accordance with FASB ASC Topic 321, </w:t>
      </w:r>
      <w:r>
        <w:rPr>
          <w:rFonts w:ascii="Times New Roman" w:hAnsi="Times New Roman"/>
          <w:i/>
          <w:color w:val="000000"/>
          <w:sz w:val="20"/>
        </w:rPr>
        <w:t>Investments—Equity Securities</w:t>
      </w:r>
      <w:r>
        <w:rPr>
          <w:rFonts w:ascii="Times New Roman" w:hAnsi="Times New Roman"/>
          <w:color w:val="000000"/>
          <w:sz w:val="20"/>
        </w:rPr>
        <w:t xml:space="preserve"> (“ASC 321”). The Company recorded the equity instrument at fair value and applied the measurement alternative under ASC 321 such that the Company would not change the amount recorded for the equity instrument unless the Company identified observable price changes in orderly transactions for the identical or similar investment of the same issuer or the equity instrument was otherwise deemed to be impaired.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 2025, Oxford Biomedica (US), Inc. exercised its option to cause the Company to sell and transfer to Oxford Biomedica (US), Inc. all of the Company’s equity ownership interest in OXB (US) LLC. In June 2025, the Company finalized the sale of its 10% equity interest in OXB (US) LLC to Oxford Biomedica (US), Inc. and received $2.5 million from Oxford Biomedica (US), Inc., calculated using the Company's pro rata share of OXB (US) LLC (10%), times a predetermined multiple of revenue for the immediately preceding 12-month period increased by OXB (US) LLC's cash balance and decreased by OXB (US) LLC's debt balance as of the exercise date, and reduced the associated equity investment on its condensed consolidated balance sheet to zero.</w:t>
      </w:r>
    </w:p>
    <w:p>
      <w:pPr>
        <w:pStyle w:val="TextBody"/>
        <w:bidi w:val="0"/>
        <w:spacing w:before="360" w:after="283"/>
        <w:jc w:val="left"/>
        <w:rPr>
          <w:rFonts w:ascii="Times New Roman" w:hAnsi="Times New Roman"/>
          <w:sz w:val="20"/>
        </w:rPr>
      </w:pPr>
      <w:r>
        <w:rPr>
          <w:rFonts w:ascii="Times New Roman" w:hAnsi="Times New Roman"/>
          <w:b/>
          <w:color w:val="000000"/>
          <w:sz w:val="20"/>
        </w:rPr>
        <w:t>7. 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as of (in thousands): </w:t>
      </w:r>
    </w:p>
    <w:p>
      <w:pPr>
        <w:pStyle w:val="TextBody"/>
        <w:bidi w:val="0"/>
        <w:jc w:val="left"/>
        <w:rPr/>
      </w:pPr>
      <w:r>
        <w:rPr/>
        <w:t> </w:t>
      </w:r>
    </w:p>
    <w:tbl>
      <w:tblPr>
        <w:tblW w:w="5232" w:type="dxa"/>
        <w:jc w:val="left"/>
        <w:tblInd w:w="0" w:type="dxa"/>
        <w:tblLayout w:type="fixed"/>
        <w:tblCellMar>
          <w:top w:w="28" w:type="dxa"/>
          <w:left w:w="28" w:type="dxa"/>
          <w:bottom w:w="28" w:type="dxa"/>
          <w:right w:w="28" w:type="dxa"/>
        </w:tblCellMar>
      </w:tblPr>
      <w:tblGrid>
        <w:gridCol w:w="2626"/>
        <w:gridCol w:w="146"/>
        <w:gridCol w:w="211"/>
        <w:gridCol w:w="631"/>
        <w:gridCol w:w="166"/>
        <w:gridCol w:w="146"/>
        <w:gridCol w:w="274"/>
        <w:gridCol w:w="821"/>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approximately $0.1 million and $0.2 million, respectively, for the three and six months ended June 30, 2026, and $0.1 million and $0.2 million, respectively, for the three and six months ended June 30, 2025. No impairment losses occurred in the three and six months ended June 30, 2026 and 2025. The Company had no losses on disposal of fixed assets for the three and six months ended June 30, 2026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as of (in thousands): </w:t>
      </w:r>
    </w:p>
    <w:p>
      <w:pPr>
        <w:pStyle w:val="TextBody"/>
        <w:bidi w:val="0"/>
        <w:jc w:val="left"/>
        <w:rPr/>
      </w:pPr>
      <w:r>
        <w:rPr/>
        <w:t> </w:t>
      </w:r>
    </w:p>
    <w:tbl>
      <w:tblPr>
        <w:tblW w:w="6437"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due under Asset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9.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as of (in thousands): </w:t>
      </w:r>
    </w:p>
    <w:p>
      <w:pPr>
        <w:pStyle w:val="TextBody"/>
        <w:bidi w:val="0"/>
        <w:jc w:val="left"/>
        <w:rPr/>
      </w:pPr>
      <w:r>
        <w:rPr/>
        <w:t> </w:t>
      </w:r>
    </w:p>
    <w:tbl>
      <w:tblPr>
        <w:tblW w:w="676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ongoing clinical studies in various clinical trial stages. Its most significant contracts relate to agreements with CROs for clinical trials and preclinical studies and CDMOs for manufacturing which the Company enters into in the normal course of business. The contracts with CROs and CDMOs are generally cancellable, with notice, at the Company’s option. </w:t>
      </w:r>
    </w:p>
    <w:p>
      <w:pPr>
        <w:pStyle w:val="TextBody"/>
        <w:bidi w:val="0"/>
        <w:spacing w:before="360" w:after="283"/>
        <w:jc w:val="left"/>
        <w:rPr>
          <w:rFonts w:ascii="Times New Roman" w:hAnsi="Times New Roman"/>
          <w:sz w:val="20"/>
        </w:rPr>
      </w:pPr>
      <w:r>
        <w:rPr>
          <w:rFonts w:ascii="Times New Roman" w:hAnsi="Times New Roman"/>
          <w:b/>
          <w:color w:val="000000"/>
          <w:sz w:val="20"/>
        </w:rPr>
        <w:t>Operating 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2021, the Company entered into a long-term operating lease agreement for its current corporate headquarters in Waltham, Massachusetts (“headquarters lease”). The headquarters lease provides approximately 15,000 square feet for general office use and research lab facilities. The headquarters lease commencement date was January 1, 2022 and the lease term ends in December 2031. The Company has an option to extend the headquarters lease term for an additional five years. The initial rent for the office space is approximately $1.0 million per year, increasing every year by 3% for total aggregate payment of $11.1 million. Upon the commencement date, the Company established a right-of-use asset and lease liability on the condensed consolidated balance sheet. As part of the agreement, the Company arranged for a letter of credit for $0.6 million as security for the headquarters lease, which is considered restricted cash and included as restricted cash and restricted cash equivalents in the condensed consolidated balance sheet. The Company received $0.4 million in a tenant improvement allowance that was applied against the right-of-use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Company’s headquarters lease had a weighted-average remaining lease term of 5.50 years and weighted average incremental borrowing rate of 7.5%.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reported in the unaudited condensed consolidated balance sheet for leases where the Company is the lessee as of June 30, 2026 and December 31, 2025 were as follows (in thousands): </w:t>
      </w:r>
    </w:p>
    <w:p>
      <w:pPr>
        <w:pStyle w:val="TextBody"/>
        <w:bidi w:val="0"/>
        <w:jc w:val="left"/>
        <w:rPr/>
      </w:pPr>
      <w:r>
        <w:rPr/>
        <w:t> </w:t>
      </w:r>
    </w:p>
    <w:tbl>
      <w:tblPr>
        <w:tblW w:w="6927" w:type="dxa"/>
        <w:jc w:val="left"/>
        <w:tblInd w:w="0" w:type="dxa"/>
        <w:tblLayout w:type="fixed"/>
        <w:tblCellMar>
          <w:top w:w="28" w:type="dxa"/>
          <w:left w:w="28" w:type="dxa"/>
          <w:bottom w:w="28" w:type="dxa"/>
          <w:right w:w="28" w:type="dxa"/>
        </w:tblCellMar>
      </w:tblPr>
      <w:tblGrid>
        <w:gridCol w:w="4221"/>
        <w:gridCol w:w="146"/>
        <w:gridCol w:w="211"/>
        <w:gridCol w:w="571"/>
        <w:gridCol w:w="146"/>
        <w:gridCol w:w="146"/>
        <w:gridCol w:w="294"/>
        <w:gridCol w:w="801"/>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operating lease costs for the six months ended June 30, 2026 and 2025 (in thousands): </w:t>
      </w:r>
    </w:p>
    <w:p>
      <w:pPr>
        <w:pStyle w:val="TextBody"/>
        <w:bidi w:val="0"/>
        <w:jc w:val="left"/>
        <w:rPr/>
      </w:pPr>
      <w:r>
        <w:rPr/>
        <w:t> </w:t>
      </w:r>
    </w:p>
    <w:tbl>
      <w:tblPr>
        <w:tblW w:w="3604" w:type="dxa"/>
        <w:jc w:val="left"/>
        <w:tblInd w:w="0" w:type="dxa"/>
        <w:tblLayout w:type="fixed"/>
        <w:tblCellMar>
          <w:top w:w="28" w:type="dxa"/>
          <w:left w:w="28" w:type="dxa"/>
          <w:bottom w:w="28" w:type="dxa"/>
          <w:right w:w="28" w:type="dxa"/>
        </w:tblCellMar>
      </w:tblPr>
      <w:tblGrid>
        <w:gridCol w:w="1711"/>
        <w:gridCol w:w="146"/>
        <w:gridCol w:w="211"/>
        <w:gridCol w:w="421"/>
        <w:gridCol w:w="146"/>
        <w:gridCol w:w="146"/>
        <w:gridCol w:w="211"/>
        <w:gridCol w:w="42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Variable lease costs were primarily related to operating expenses, taxes and insurance associated with the operating lease,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unaudited condensed consolidated statements of operations. Future minimum lease payments under non-cancelable lease agreement as of June 30, 2026 and a reconciliation to the carrying amount of the lease liabilities presented in the consolidated balance sheet are as follows (in thousands): </w:t>
      </w:r>
    </w:p>
    <w:p>
      <w:pPr>
        <w:pStyle w:val="TextBody"/>
        <w:bidi w:val="0"/>
        <w:jc w:val="left"/>
        <w:rPr/>
      </w:pPr>
      <w:r>
        <w:rPr/>
        <w:t> </w:t>
      </w:r>
    </w:p>
    <w:tbl>
      <w:tblPr>
        <w:tblW w:w="4485" w:type="dxa"/>
        <w:jc w:val="left"/>
        <w:tblInd w:w="0" w:type="dxa"/>
        <w:tblLayout w:type="fixed"/>
        <w:tblCellMar>
          <w:top w:w="28" w:type="dxa"/>
          <w:left w:w="28" w:type="dxa"/>
          <w:bottom w:w="28" w:type="dxa"/>
          <w:right w:w="28" w:type="dxa"/>
        </w:tblCellMar>
      </w:tblPr>
      <w:tblGrid>
        <w:gridCol w:w="3106"/>
        <w:gridCol w:w="146"/>
        <w:gridCol w:w="211"/>
        <w:gridCol w:w="631"/>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w:t>
              <w:br/>
              <w:t>Rental</w:t>
              <w:br/>
              <w:t>Payments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License Agreement with the University of Colorado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2017, the Company entered into an exclusive license agreement, as amended in February 2018, September 2018, and April 2019 (the “Colorado License Agreement”), with The Regents of the University of Colorado (“Colorado”), pursuant to which the Company obtained worldwide, royalty-bearing, sublicensable licenses under certain patents and know-how owned by Colorado and Medical University of South Carolina (“MUSC”) relating to the research, development and commercialization of ADX-097. The licenses granted to the Company were exclusive with respect to certain patent families and know-how and non-exclusive with certain other patent families and know-how. The licenses granted to the Company were also subject to certain customary retained rights of Colorado and MUSC and rights of the United States government owing to federal funding giving rise to inventions covered by the licensed patents. The Company agreed to use commercially reasonable efforts to develop, manufacture and commercialize ADX-097, including by using commercially reasonable efforts to achieve specified development and regulatory milestones by specified 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Company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The Company’s obligation to pay royalties to Colorado would commence, on a licensed product-by-licensed product and country-by-country basis, from the first commercial sale of a licensed product in any country and expires on the later of (a) the last to expire valid claim within the licensed patents covering such licensed product in such country, and (b) 20 years following the effective date of the Colorado License Agreement, or April 2037 (the “Royalty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28, 2025, in connection with the ADX-097 Asset Sale, the Colorado License Agreement was amended and restated and all of the Company’s rights and obligations thereunder were transferred to Akebia.</w:t>
      </w:r>
    </w:p>
    <w:p>
      <w:pPr>
        <w:pStyle w:val="TextBody"/>
        <w:bidi w:val="0"/>
        <w:spacing w:before="360" w:after="283"/>
        <w:jc w:val="left"/>
        <w:rPr>
          <w:rFonts w:ascii="Times New Roman" w:hAnsi="Times New Roman"/>
          <w:sz w:val="20"/>
        </w:rPr>
      </w:pPr>
      <w:r>
        <w:rPr>
          <w:rFonts w:ascii="Times New Roman" w:hAnsi="Times New Roman"/>
          <w:i/>
          <w:color w:val="000000"/>
          <w:sz w:val="20"/>
        </w:rPr>
        <w:t>License Agreement with Bristol-Myers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entered into a license agreement, as amended in August 2021 and July 2022 (the “BMS License Agreement”) with Bristol-Myers Squibb Company (“BMS”), pursuant to which the Company obtained sublicensable licenses from BMS to research, develop and commercialize licensed products, including bempikibart, for any and all uses worldwide. The licenses granted to the Company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the Company is prohibited from engaging in certain clinical development or commercialization of any antibody other than a licensed compound with the same mechanism of action until the earlier of the expiration of Q32’s obligation to pay BMS royalties or September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consideration for the license, the Company made an upfront payment to BMS of $8 million, issued 318,278 Series A preferred shares to BMS and agreed to use commercially reasonable efforts to develop and commercialize at least one licensed product in key geographic markets. In addition, the Company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 (ii) 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 to pay BMS royalties under subsection (ii) above commences, on a licensed product-by-licensed product and country-by-country basis on the first commercial sale of a licensed product in a country and expires on the later of (x) 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(Royalty Term). If the Company undergoes a change of control prior to certain specified phase of development, the development and milestone payments are subject to increase by a low double digit percentage and the royalty rates are subject to increase by a low sub single digit percentage.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the Company fails to meet its diligence obligations under the BMS License Agreement, for the Company’s insolvency, or if the Company or its affiliates challenges the validity, scope, enforceability, or patentability of any of the licensed patents. The Company may terminate the BMS License Agreement for any reason upon prior written notice to BMS, with a longer notice period if a licensed product has received regulatory approval. If the BMS Agreement is terminated for the Company’s material breach, BMS will regain rights to bempikibart and the Company must grant BMS an exclusive license under the Company’s patent rights covering bempikibart, subject to a low single digit percentage royalty on net sales of bempikibart payable to the Company by BMS.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2024, the Company made a $4.0 million development milestone payment to BMS and recorded it as research and development expenses. As of June 30, 2026, no further events have occurred that would require payment of milestones, royalties or sublicense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not currently party to any material legal proceedings. The Company accounts for estimated losses with respect to legal proceedings and claims when such losses are probable and reasonably estimable. Legal costs associated with these matters are expensed when incurred.</w:t>
      </w:r>
    </w:p>
    <w:p>
      <w:pPr>
        <w:pStyle w:val="TextBody"/>
        <w:bidi w:val="0"/>
        <w:spacing w:before="360" w:after="283"/>
        <w:jc w:val="left"/>
        <w:rPr>
          <w:rFonts w:ascii="Times New Roman" w:hAnsi="Times New Roman"/>
          <w:sz w:val="20"/>
        </w:rPr>
      </w:pPr>
      <w:r>
        <w:rPr>
          <w:rFonts w:ascii="Times New Roman" w:hAnsi="Times New Roman"/>
          <w:b/>
          <w:color w:val="000000"/>
          <w:sz w:val="20"/>
        </w:rPr>
        <w:t>Indemnification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permitted under Delaware law, the Company has agreements whereby it indemnifies certain of its investors, stockholders, employees, officers, and directors (collectively, the “Indemnified Parties”) for certain events or occurrences while the Indemnified Parties are, or were serving, at its request in such capacity. The maximum potential amount of future payments the Company could be required to make under these indemnification agreements is unlimited; however, the Company has an Executive Liability insurance policy that limits its exposure and enables it to recover a portion of any future amounts paid up to $5.0 million.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Parties for losses suffered or incurred by the Indemnified Parties,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has never incurred costs to defend lawsuits or settle claims related to these indemnification agreements. </w:t>
      </w:r>
    </w:p>
    <w:p>
      <w:pPr>
        <w:pStyle w:val="TextBody"/>
        <w:bidi w:val="0"/>
        <w:spacing w:before="360" w:after="283"/>
        <w:jc w:val="left"/>
        <w:rPr>
          <w:rFonts w:ascii="Times New Roman" w:hAnsi="Times New Roman"/>
          <w:sz w:val="20"/>
        </w:rPr>
      </w:pPr>
      <w:r>
        <w:rPr>
          <w:rFonts w:ascii="Times New Roman" w:hAnsi="Times New Roman"/>
          <w:b/>
          <w:color w:val="000000"/>
          <w:sz w:val="20"/>
        </w:rPr>
        <w:t>11. 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Venture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the Company entered into a Loan and Security Agreement, as amended in June 2022, August 2022, December 2022, April 2023, July 2023, November 2023, March 2024 and July 2024 (the “Loan Agreement”), with Silicon Valley Bank, a division of First-Citizens Bank &amp; Trust Company (“SVB”) for a lending facility of up to $25.0 million. The Company received $5.0 million upon execution of the Loan Agreement which it repaid in July 2023, a $5.5 million term loan advance in July 2023 and a $7.0 million term loan advance in March 2024. On June 24, 2026, the Company paid off the remaining balance in the amount of approximately $6.8 million under the Loan Agreement, pursuant to a letter between the Company and SVB dated June 24, 2026 and recognized a loss on extinguishment of debt of $0.1 million in the six months ended June 30, 2026. Accordingly, the Loan Agreement has been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 bore interest at an annual rate equal to the greater of the prime rate minus 0.25% or 8.00%. The Loan Agreement provided for interest-only payments until July 1, 2025, followed by 24 equal monthly payments of principal plus interest. The loan was scheduled to mature on July 1, 2027. In addition, the Company paid a fee of $0.1 million upon entering into the Loan Agreement and was required to pay a fee of 3.5% of the aggregate amount of advances under the Loan Agreement at maturity.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conjunction with the Loan Agreement, in December 2020, the Company issued warrants to purchase 7,988 shares of common stock to the lender at a per share price of $6.87 with a maximum contractual term of 10 years and in July 2023, warrants to purchase 10,156 shares of common stock to the lender at a per share price of $7.50 with a maximum contractual term of 10 years. The warrants had a de minimis total relative fair value at the time of issuance. Pursuant to FASB ASC Topic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and FASB ASC Topic 815, </w:t>
      </w:r>
      <w:r>
        <w:rPr>
          <w:rFonts w:ascii="Times New Roman" w:hAnsi="Times New Roman"/>
          <w:i/>
          <w:color w:val="000000"/>
          <w:sz w:val="20"/>
        </w:rPr>
        <w:t>Derivatives and Hedging</w:t>
      </w:r>
      <w:r>
        <w:rPr>
          <w:rFonts w:ascii="Times New Roman" w:hAnsi="Times New Roman"/>
          <w:color w:val="000000"/>
          <w:sz w:val="20"/>
        </w:rPr>
        <w:t xml:space="preserve">, the warrants were classified as equity and were initially measured at fair value. Subsequent changes to fair value will not be recognized so long as the instrument continues to be equity classified.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was $0.2 million and $0.4 million for the three and six months ended June 30, 2026 and $0.3 million and $0.6 million for the three and six months ended June 30, 2025. The effective rate on the Loan Agreement, including the amortization of the debt discount and issuance costs was 8.77% and 9.45%, respectively, at each of June 30, 2026 and December 31, 2025. The components of the long-term debt balance are as follows (in thousands): </w:t>
      </w:r>
    </w:p>
    <w:p>
      <w:pPr>
        <w:pStyle w:val="TextBody"/>
        <w:bidi w:val="0"/>
        <w:jc w:val="left"/>
        <w:rPr/>
      </w:pPr>
      <w:r>
        <w:rPr/>
        <w:t> </w:t>
      </w:r>
    </w:p>
    <w:tbl>
      <w:tblPr>
        <w:tblW w:w="6320" w:type="dxa"/>
        <w:jc w:val="left"/>
        <w:tblInd w:w="0" w:type="dxa"/>
        <w:tblLayout w:type="fixed"/>
        <w:tblCellMar>
          <w:top w:w="28" w:type="dxa"/>
          <w:left w:w="28" w:type="dxa"/>
          <w:bottom w:w="28" w:type="dxa"/>
          <w:right w:w="28" w:type="dxa"/>
        </w:tblCellMar>
      </w:tblPr>
      <w:tblGrid>
        <w:gridCol w:w="3856"/>
        <w:gridCol w:w="146"/>
        <w:gridCol w:w="273"/>
        <w:gridCol w:w="447"/>
        <w:gridCol w:w="146"/>
        <w:gridCol w:w="146"/>
        <w:gridCol w:w="274"/>
        <w:gridCol w:w="821"/>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Restated Certificate of Incorporation, as amended, authorized the Company to issue 400,000,000 shares of common stock, $0.0001 par value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reserved the following shares of common stock for future issuance: </w:t>
      </w:r>
    </w:p>
    <w:p>
      <w:pPr>
        <w:pStyle w:val="TextBody"/>
        <w:bidi w:val="0"/>
        <w:jc w:val="left"/>
        <w:rPr/>
      </w:pPr>
      <w:r>
        <w:rPr/>
        <w:t> </w:t>
      </w:r>
    </w:p>
    <w:tbl>
      <w:tblPr>
        <w:tblW w:w="8400" w:type="dxa"/>
        <w:jc w:val="left"/>
        <w:tblInd w:w="0" w:type="dxa"/>
        <w:tblLayout w:type="fixed"/>
        <w:tblCellMar>
          <w:top w:w="28" w:type="dxa"/>
          <w:left w:w="28" w:type="dxa"/>
          <w:bottom w:w="28" w:type="dxa"/>
          <w:right w:w="28" w:type="dxa"/>
        </w:tblCellMar>
      </w:tblPr>
      <w:tblGrid>
        <w:gridCol w:w="5116"/>
        <w:gridCol w:w="146"/>
        <w:gridCol w:w="154"/>
        <w:gridCol w:w="986"/>
        <w:gridCol w:w="146"/>
        <w:gridCol w:w="146"/>
        <w:gridCol w:w="205"/>
        <w:gridCol w:w="1310"/>
        <w:gridCol w:w="19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2024 Stock</w:t>
              <w:br/>
              <w:t>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1,997,963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2024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2,186,531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4,762,664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2017 Stock Option and Grant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Q32 Bio Operations Inc. (previously named Q32 Bio Inc. and referred to herein as Legacy Q32) adopted the 2017 Stock Option and Grant Plan and subsequent amendments (the “2017 Plan”) with 1,246,290 shares of common stock reserved for issuance to employees, directors, and consultants. The 2017 Plan allowed for the grant of incentive stock options, non-statutory stock options, restricted stock awards, restricted stock unit awards and other stock awards. As of June 30, 2026, there were no additional shares available for future grant under the 2017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2024 Stock Option and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2024 Stock Option and Incentive Plan (the “2024 Plan”) became effective on March 25, 2024, and serves as successor to the 2017 Plan, as well as the Homology 2015 Stock Incentive Plan and the Homology 2018 Plan. The 2024 Plan provides for the grant of incentive stock options, nonqualified stock options, restricted stock awards, restricted stock units, stock appreciation rights and other stock or cash-based awards to officers, employees, directors and consultants of the Company. The 2024 Plan provides that the number of shares reserved and available for issuance under the 2024 Plan will automatically increase each January 1 by 5% of the outstanding number of shares on the immediately preceding December 31, or such lesser amount as determined by the plan administrator. As of June 30, 2026, there were 2,087,241 shares available for future grant under the 2024 Plan.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2024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2024 Employee Stock Purchase Plan (the “2024 ESPP”) became effective on March 25, 2024. The 2024 ESPP provides that the number of shares reserved and available for issuance under the plan will automatically increase each January 1 by the lesser of 241,677 shares, a number of shares equal 1% of the outstanding number of shares on the immediately preceding December 31, or such lesser amount as determined by the plan administrator. As of June 30, 2026, there were 371,393 shares available for future grant under the 2024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shares issued under the 2024 ESPP during the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options granted by the Company typically vest over a four-year period and have a ten-year contractual term. The following table summarizes the Company’s stock option activity during the six months ended June 30, 2026: </w:t>
      </w:r>
    </w:p>
    <w:tbl>
      <w:tblPr>
        <w:tblW w:w="7900" w:type="dxa"/>
        <w:jc w:val="left"/>
        <w:tblInd w:w="0" w:type="dxa"/>
        <w:tblLayout w:type="fixed"/>
        <w:tblCellMar>
          <w:top w:w="28" w:type="dxa"/>
          <w:left w:w="28" w:type="dxa"/>
          <w:bottom w:w="28" w:type="dxa"/>
          <w:right w:w="28" w:type="dxa"/>
        </w:tblCellMar>
      </w:tblPr>
      <w:tblGrid>
        <w:gridCol w:w="2656"/>
        <w:gridCol w:w="146"/>
        <w:gridCol w:w="146"/>
        <w:gridCol w:w="931"/>
        <w:gridCol w:w="166"/>
        <w:gridCol w:w="146"/>
        <w:gridCol w:w="266"/>
        <w:gridCol w:w="590"/>
        <w:gridCol w:w="146"/>
        <w:gridCol w:w="146"/>
        <w:gridCol w:w="236"/>
        <w:gridCol w:w="755"/>
        <w:gridCol w:w="146"/>
        <w:gridCol w:w="146"/>
        <w:gridCol w:w="211"/>
        <w:gridCol w:w="676"/>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w:t>
              <w:br/>
              <w:t>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per share weighted-average grant date fair value of options granted in the six months ended June 30, 2026 was $6.64. The total fair value of options vested during the six months ended June 30, 2026 was $1.3 million. As of June 30, 2026, total unrecognized compensation costs to the unvested stock options were approximately $6.3 million, which is expected to be recognized over a weighted-average period of 1.4 years. The per share weighted-average exercise price of options cancelled in the six months ended June 30, 2026 of $7.17 was impacted by the Option Repricing (defined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Option Modifications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23, 2025, the Company's board of directors approved a stock option repricing (the “Option Repricing”), which was effective on February 24, 2025 (the “Repricing Date”). The Option Repricing applied to outstanding options to purchase shares of common stock of the Company granted under the Company’s 2017 Plan and 2024 Plan (collectively, “the Plans”), which, as of the Repricing Date, were held by current employees and non-employee directors of the Company and had an exercise price in excess of the current trading price of the common stock (so-called “underwater options”) with grant dates prior to February 23, 2025 (the “Eligible Options”). As of the Repricing Date, the Eligible Options were repriced such that the exercise price per share for such Eligible Options was reduced to the closing price of the common stock on the Nasdaq Global Market on the Repricing Date (the “Repriced Exercise Price”). The total number of shares of common stock underlying all Eligible Options was 1,871,416.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repricing of the Eligible Options was accounted for as a modification under FASB ASC Topic 718, </w:t>
      </w:r>
      <w:r>
        <w:rPr>
          <w:rFonts w:ascii="Times New Roman" w:hAnsi="Times New Roman"/>
          <w:i/>
          <w:color w:val="000000"/>
          <w:sz w:val="20"/>
        </w:rPr>
        <w:t>Compensation—Stock Compensation</w:t>
      </w:r>
      <w:r>
        <w:rPr>
          <w:rFonts w:ascii="Times New Roman" w:hAnsi="Times New Roman"/>
          <w:color w:val="000000"/>
          <w:sz w:val="20"/>
        </w:rPr>
        <w:t xml:space="preserve"> (“ASC 718”). Accordingly, the Company calculated incremental compensation cost on the modification date in an amount equal to the difference between the fair value of the awards before and after modification, determined using a lattice model based on the Hull-White framework, and recognized $0.3 million in its statement of operations for the year ended December 31, 2025. An additional $0.2 million is being recognized over the remaining vesting terms of the modified awards.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restricted stock units (“RSUs”) are based on the fair market value of the Company’s common stock on the date of grant. Each RSU represents a contingent right to receive one share of the Company’s common stock upon vesting. In general, RSUs vest annually in two or three equal installments. The following table summarizes the Company’s RSU activity during the six months ended June 30, 2026:</w:t>
      </w:r>
    </w:p>
    <w:p>
      <w:pPr>
        <w:pStyle w:val="TextBody"/>
        <w:bidi w:val="0"/>
        <w:jc w:val="left"/>
        <w:rPr/>
      </w:pPr>
      <w:r>
        <w:rPr/>
        <w:t> </w:t>
      </w:r>
    </w:p>
    <w:tbl>
      <w:tblPr>
        <w:tblW w:w="5437" w:type="dxa"/>
        <w:jc w:val="left"/>
        <w:tblInd w:w="0" w:type="dxa"/>
        <w:tblLayout w:type="fixed"/>
        <w:tblCellMar>
          <w:top w:w="28" w:type="dxa"/>
          <w:left w:w="28" w:type="dxa"/>
          <w:bottom w:w="28" w:type="dxa"/>
          <w:right w:w="28" w:type="dxa"/>
        </w:tblCellMar>
      </w:tblPr>
      <w:tblGrid>
        <w:gridCol w:w="2656"/>
        <w:gridCol w:w="146"/>
        <w:gridCol w:w="146"/>
        <w:gridCol w:w="841"/>
        <w:gridCol w:w="166"/>
        <w:gridCol w:w="146"/>
        <w:gridCol w:w="293"/>
        <w:gridCol w:w="652"/>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total unrecognized compensation costs to the unvested RSUs were approximately $1.9 million, which is expected to be recognized over a weighted-average period of 2.3 years. The total fair value of RSUs vested during the six months ended June 30, 2026 was $0.3 million.</w:t>
      </w:r>
    </w:p>
    <w:p>
      <w:pPr>
        <w:pStyle w:val="TextBody"/>
        <w:bidi w:val="0"/>
        <w:spacing w:before="360" w:after="283"/>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underlying assumptions used to value stock options granted using the Black-Scholes option-pricing model prior to the Option Repricing during the three months ended June 30, 2026 and the six months ended June 30, 2026 and 2025 were as follows (there were no stock options granted during the three months ended June 30, 2025): </w:t>
      </w:r>
    </w:p>
    <w:tbl>
      <w:tblPr>
        <w:tblW w:w="7177" w:type="dxa"/>
        <w:jc w:val="left"/>
        <w:tblInd w:w="0" w:type="dxa"/>
        <w:tblLayout w:type="fixed"/>
        <w:tblCellMar>
          <w:top w:w="28" w:type="dxa"/>
          <w:left w:w="28" w:type="dxa"/>
          <w:bottom w:w="28" w:type="dxa"/>
          <w:right w:w="28" w:type="dxa"/>
        </w:tblCellMar>
      </w:tblPr>
      <w:tblGrid>
        <w:gridCol w:w="3121"/>
        <w:gridCol w:w="146"/>
        <w:gridCol w:w="1606"/>
        <w:gridCol w:w="146"/>
        <w:gridCol w:w="1396"/>
        <w:gridCol w:w="146"/>
        <w:gridCol w:w="6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range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3.79% — 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4.46%</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18"/>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 range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5.23</w:t>
            </w:r>
            <w:r>
              <w:rPr>
                <w:rFonts w:ascii="Times New Roman" w:hAnsi="Times New Roman"/>
                <w:color w:val="000000"/>
                <w:sz w:val="20"/>
              </w:rPr>
              <w:t xml:space="preserve"> — </w:t>
            </w:r>
            <w:r>
              <w:rPr>
                <w:rFonts w:ascii="Times New Roman" w:hAnsi="Times New Roman"/>
                <w:color w:val="000000"/>
                <w:sz w:val="18"/>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5.23</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 range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97.1% — 112.3%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95.8%</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 xml:space="preserve">Risk-Free Interest Rate – </w:t>
      </w:r>
      <w:r>
        <w:rPr>
          <w:rFonts w:ascii="Times New Roman" w:hAnsi="Times New Roman"/>
          <w:color w:val="000000"/>
          <w:sz w:val="20"/>
        </w:rPr>
        <w:t xml:space="preserve">The risk-free rate assumption is based on the U.S. Treasury instruments, the terms of which were consistent with the expected term of the Company’s stock options.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Expected Dividend – </w:t>
      </w:r>
      <w:r>
        <w:rPr>
          <w:rFonts w:ascii="Times New Roman" w:hAnsi="Times New Roman"/>
          <w:color w:val="000000"/>
          <w:sz w:val="20"/>
        </w:rPr>
        <w:t xml:space="preserve">The expected dividend assumption is based on the Company’s history and expectation of dividend payouts. The Company has not paid and does not intend to pay dividends.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Expected Term – </w:t>
      </w:r>
      <w:r>
        <w:rPr>
          <w:rFonts w:ascii="Times New Roman" w:hAnsi="Times New Roman"/>
          <w:color w:val="000000"/>
          <w:sz w:val="20"/>
        </w:rPr>
        <w:t xml:space="preserve">The expected term of stock options represents the weighted average period the stock options are expected to be outstanding. The Company uses the simplified method for estimating the expected term, which calculates the expected term as the average time-to-vesting and the contractual life of the options for stock options issued to employees. The expected term for options granted to non-employees is based on the contractual life of the options.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Expected Volatility – </w:t>
      </w:r>
      <w:r>
        <w:rPr>
          <w:rFonts w:ascii="Times New Roman" w:hAnsi="Times New Roman"/>
          <w:color w:val="000000"/>
          <w:sz w:val="20"/>
        </w:rPr>
        <w:t xml:space="preserve">Due to the Company’s limited operating history and lack of sufficient company-specific historical or implied volatility, the expected volatility assumption was determined by examining the historical volatilities of a group of industry peers whose share prices are publicly available. The Company expects to continue to do so until such time as it has adequate historical data regarding the volatility of its own traded stock price. </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Common Stock</w:t>
      </w:r>
      <w:r>
        <w:rPr>
          <w:rFonts w:ascii="Times New Roman" w:hAnsi="Times New Roman"/>
          <w:color w:val="000000"/>
          <w:sz w:val="20"/>
        </w:rPr>
        <w:t xml:space="preserve"> – Prior to the Merger, as there had been no public market for the Company’s common stock, the estimated fair value of its common stock was determined by the Company using estimates and assumptions on the respective grant dates of the awards. These estimates and assumptions include a number of objective and subjective factors, including external market conditions, the prices at which the Company sold shares of preferred securities and the superior likelihood of achieving a liquidity event, such as an IPO or sale. Significant changes to the key assumptions used in the valuations could result in different fair values of common stock at each valuation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discussed above, incremental stock-based compensation expense for the Option Repricing on February 24, 2025 was calculated using a lattice model based on the Hull-White framework. This approach incorporated key assumptions, including suboptimal exercise multiples for both staff and executives, derived from empirical data. The model also accounted for additional factors such as vesting periods, employee turnover based on the accounting of forfeitures, volatility, contractual expiry, and risk-free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stock-based compensation expense in the following expense categories of its statements of operations (in thousands): </w:t>
      </w:r>
    </w:p>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14. Agreements with Horizon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August 2022 until November 2023, Legacy Q32 was a party to the Collaboration and Option Agreement (the “Horizon Collaboration Agreement”) and the Asset Purchase Agreement (the “Purchase Agreement,” and together with the Horizon Collaboration Agreement, the “Horizon Agreements”), each between Legacy Q32 and Horizon Therapeutics Ireland DAC (“Horizon”), pursuant to which Legacy Q32 received $55.0 million in initial consideration and staged development funding for the completion of the two ongoing Phase 2 trials for bempikibart, and Horizon had an option to acquire the bempikibart program at a prespecified price, subject to certain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Amgen Inc. (“Amgen”) completed its acquisition of Horizon Therapeutics public limited company (“Horizon plc”). Following the acquisition, the Company agreed with Amgen to mutually terminate the Horizon Agreements. In November 2023, the Company and Horizon entered into a termination agreement (the “Horizon Termination Agreement”), pursuant to which Horizon’s option to acquire the bempikibart program was terminated. As a result, the Company retained all initial consideration and development funding received under the Horizon Collaboration Agreement and regained full development and commercial rights to bempikibart. In consideration for the Horizon Termination Agreement, the Company agreed to pay Horizon regulatory and sales milestones payments upon the first achievement of certain regulatory and sales milestones with respect to bempikibart. All amounts previously recognized as revenue were reversed in the fourth quarter of 2023 and a refund liability was established for the $55.0 million cash received during the term of the Horizon Collaboration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2025, the Company and Amgen entered into an amendment to the Horizon Termination Agreement (the “Amgen Amendment”) pursuant to which the Company issued Horizon a one-time equity grant of 553,695 shares of the Company’s common stock as full consideration of the milestone payments under the Horizon Termination Agreement. Following the transactions contemplated by the Amgen Amendment, the Company has no remaining obligations to Amgen, including with respect to the regulatory and sales-based milestone payments set forth in the Horizon Collaboration Agreement. Therefore, the Company derecognized the $55.0 million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pStyle w:val="TextBody"/>
        <w:bidi w:val="0"/>
        <w:spacing w:before="360" w:after="283"/>
        <w:jc w:val="left"/>
        <w:rPr>
          <w:rFonts w:ascii="Times New Roman" w:hAnsi="Times New Roman"/>
          <w:sz w:val="20"/>
        </w:rPr>
      </w:pPr>
      <w:r>
        <w:rPr>
          <w:rFonts w:ascii="Times New Roman" w:hAnsi="Times New Roman"/>
          <w:b/>
          <w:color w:val="000000"/>
          <w:sz w:val="20"/>
        </w:rPr>
        <w:t>15.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consulting and advisory agreements with certain investors and board members which are considered to be related party transactions. The Company did not incur expense for the three and six months ended June 30, 2026 and 2025 related to services provided by these investors and board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amounts were due to related parties at June 30, 2026 or December 31, 2025. </w:t>
      </w:r>
    </w:p>
    <w:p>
      <w:pPr>
        <w:pStyle w:val="TextBody"/>
        <w:bidi w:val="0"/>
        <w:spacing w:before="360" w:after="283"/>
        <w:jc w:val="left"/>
        <w:rPr>
          <w:rFonts w:ascii="Times New Roman" w:hAnsi="Times New Roman"/>
          <w:sz w:val="20"/>
        </w:rPr>
      </w:pPr>
      <w:r>
        <w:rPr>
          <w:rFonts w:ascii="Times New Roman" w:hAnsi="Times New Roman"/>
          <w:b/>
          <w:color w:val="000000"/>
          <w:sz w:val="20"/>
        </w:rPr>
        <w:t>16.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record a tax provision or benefit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pStyle w:val="TextBody"/>
        <w:bidi w:val="0"/>
        <w:spacing w:before="360" w:after="283"/>
        <w:jc w:val="left"/>
        <w:rPr>
          <w:rFonts w:ascii="Times New Roman" w:hAnsi="Times New Roman"/>
          <w:sz w:val="20"/>
        </w:rPr>
      </w:pPr>
      <w:r>
        <w:rPr>
          <w:rFonts w:ascii="Times New Roman" w:hAnsi="Times New Roman"/>
          <w:b/>
          <w:color w:val="000000"/>
          <w:sz w:val="20"/>
        </w:rPr>
        <w:t>17.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net loss by the weighted-average number of shares of common stock outstanding, including the shares of common stock underlying the pre-funded warrants, for the three and six months ended June 30, 2026. Shares of common stock issuable upon exercise of the pre-funded warrants are considered outstanding for the purposes of computing basic net loss per share because the shares may be issued for little or no consideration, are fully vested and are exercisable after the original issuance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computing diluted net loss per share, only potential shares of common stock that are dilutive are included. For the three and six months ended June 30, 2026 and 2025, the Company’s potentially dilutive securities, which include stock options, RSUs, warrants and pre-funded warrants have been excluded from the computation of diluted net loss per share as the effect would be to reduce the net loss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12,197,615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excluded the following from the computation of diluted net loss per share attributable to common stockholders because including them would have had an anti-dilutive effect:</w:t>
      </w:r>
    </w:p>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931"/>
        <w:gridCol w:w="146"/>
        <w:gridCol w:w="146"/>
        <w:gridCol w:w="931"/>
        <w:gridCol w:w="146"/>
        <w:gridCol w:w="146"/>
        <w:gridCol w:w="146"/>
        <w:gridCol w:w="931"/>
        <w:gridCol w:w="146"/>
        <w:gridCol w:w="146"/>
        <w:gridCol w:w="146"/>
        <w:gridCol w:w="931"/>
        <w:gridCol w:w="146"/>
        <w:gridCol w:w="146"/>
        <w:gridCol w:w="146"/>
        <w:gridCol w:w="93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one operating segment, focused on research, development, and discovering, developing and delivering therapies for its novel biologics. The Company’s CEO, as the chief operating decision maker (“CODM”), manages and allocates resources to the operations of the Company on a consolidated basis. Managing and allocating resources on a total-company basis enables the CODM to assess the overall level of resources available and how to best deploy those resources across research and development projects that are in line with our long-term company-wide strategic goals. Consistent with this decision-making process, the CODM uses consolidated, single-segment financial information for purposes of evaluating performance, forecasting future period financial results, allocating resources and setting incentive targets. When evaluating the Company’s overall performance, the CODM is focused on the timing and progress of its preclinical and clinical development activities. The CODM regularly reviews total expenses, as well as direct research and development expenses by program and makes decisions using this information on a company-wide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reportable segment are the same as those described in the summary of significant accounting policies. The CODM assesses performance and decides how to allocate resources based on consolidated net loss. This measure is used to monitor budget versus actual results to assess performance of the segment. The measure of segment assets is reported on the consolidated balance sheet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reportable segment net loss, including significant expenses regularly provided to the CODM, attributable to the Company’s reportable segment for the three and six months ended June 30, 2026 and 2025:</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22"/>
        <w:gridCol w:w="146"/>
        <w:gridCol w:w="252"/>
        <w:gridCol w:w="684"/>
        <w:gridCol w:w="198"/>
        <w:gridCol w:w="174"/>
        <w:gridCol w:w="252"/>
        <w:gridCol w:w="684"/>
        <w:gridCol w:w="166"/>
        <w:gridCol w:w="146"/>
        <w:gridCol w:w="211"/>
        <w:gridCol w:w="676"/>
        <w:gridCol w:w="166"/>
        <w:gridCol w:w="146"/>
        <w:gridCol w:w="211"/>
        <w:gridCol w:w="676"/>
        <w:gridCol w:w="395"/>
      </w:tblGrid>
      <w:tr>
        <w:trPr/>
        <w:tc>
          <w:tcPr>
            <w:tcW w:w="5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Bempikibart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ADX-097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costs (excluding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Other segment items are included in order to reconcile to total segment net loss. Other segment items include non-cash items such as depreciation and amortization expense, stock-based compensation expense and the change in fair value of contingent value rights.</w:t>
      </w:r>
    </w:p>
    <w:p>
      <w:pPr>
        <w:pStyle w:val="TextBody"/>
        <w:bidi w:val="0"/>
        <w:spacing w:before="360" w:after="283"/>
        <w:jc w:val="left"/>
        <w:rPr>
          <w:rFonts w:ascii="Times New Roman" w:hAnsi="Times New Roman"/>
          <w:sz w:val="20"/>
        </w:rPr>
      </w:pPr>
      <w:r>
        <w:rPr>
          <w:rFonts w:ascii="Times New Roman" w:hAnsi="Times New Roman"/>
          <w:b/>
          <w:color w:val="000000"/>
          <w:sz w:val="20"/>
        </w:rPr>
        <w:t>19.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events or transactions that occur after the balance sheet date but prior to the date the financial statements are available to be issued for potential recognition or disclosure in the financial statements. The Company has completed an evaluation of all subsequent events after the balance sheet date of June 30, 2026 through the date the financial statements were issued to ensure that these financial statements include appropriate disclosure of events both recognized in the financial statements as of June 30, 2026 and events which occurred subsequently but were not recognized in the financial statements, and there were no material subsequent events requiring disclosure, except that subsequent to June 30, 2026, the Company sold 6,027,399 shares of its common stock at a public offering price of $18.25 per share and pre-funded warrants to purchase up to 4,931,506 shares of its common stock at a public offering price of $18.2499 per pre-funded warrant and received net proceeds of $187.6 million, after deducting underwriting discounts and commissions and offering expenses. In addition, the Company granted the underwriters a 30-day option to purchase up to an additional 1,643,835 shares of its common stock at the public offering price of $18.25 per share, less underwriting discounts and commissions.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condensed consolidated financial statements and the related notes appearing elsewhere in this Quarterly Report on Form 10-Q.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Quarterly Report on Form 10-Q.</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Unless otherwise indicated or the context otherwise requires, references in this “Management’s Discussion and Analysis of Financial Condition and Results of Operations” section to “Legacy Q32” refers to the business and operations of Q32 Bio Operations Inc. (previously Q32 Bio Inc.) and its consolidated subsidiaries prior to the Merger, and references to “the Company,” “we,” “us,” “our” and other similar terms refer to the business and operations of Q32 Bio Inc. (previously Homology Medicines, Inc., or Homology) and its consolidated subsidiary following the Merger.</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biotechnology company focused on developing innovative therapies for alopecia areata (“AA”) and other autoimmune and inflammatory diseases.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Bempikibart (ADX-914)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Bempikibart (ADX-914), our most advanced product candidate, is a fully human anti–interleukin-7 receptor alpha (“IL-7Rα”), antagonist monoclonal antibody designed to re-regulate adaptive immune function by potently blocking signaling mediated by interleukin-7 (“IL-7”), and thymic stromal lymphopoietin (“TSLP”). We have completed two Phase 2a clinical trials evaluating bempikibart, SIGNAL-AA Part A, for the treatment of AA, and SIGNAL-AD, for the treatment of atopic dermatitis (“AD”). In December 2024, we announced topline results from both of these trials, as well as our intention to advance bempikibart for the treatment of AA.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SIGNAL-AA Part A and SIGNAL-AD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SIGNAL-AA Part A clinical trial, patients with severe or very severe AA were dosed with 200mg subcutaneous (“SC”) bempikibart every two weeks for 24 weeks and followed for an additional 12 weeks following the end of treatment. At the 24-week endpoint, we observed more hair regrowth compared to placebo and evidence of durable responses in patients. The average hair regrowth across patients in the trial continued to improve from week 24 to week 36 despite patients being off therapy during the 12-week follow-up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Across the SIGNAL-AA and SIGNAL-AD trials, at the 200mg Phase 2a dose, we achieved our desired receptor occupancy (“RO”) and observed favorable pharmacokinetics (“PK”) / pharmacodynamic (“PD”) properties, consistent with those from the Phase 1 clinical trial. Minimal anti-drug antibodies (“ADAs”) were observed in the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across the two trials, we observed changes in biomarkers consistent with the IL-7Rα mechanism and activity mediated by both the TSLP and IL-7 receptors. In the SIGNAL-AD trial, we observed meaningful decreases in key Th2 biomarkers of TARC, IgE, and eosinophils, each of which were statistically significant at multiple timepoints suggestive of potent TSLP inhibition. In the SIGNAL-AA trial, we observed a CD3+ T cell decrease, which was also statistically significant at multiple timepoints, suggestive of potent IL-7 inhibition. These findings were consistent with expected target engagement and IL-7Rα blockade.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Across all clinical trials, bempikibart has been dosed in over 150 participants to-date and has demonstrated a favorable safety and tolerability profile, with no Grade 3 or higher related adverse events.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SIGNAL-AA Part 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we announced dosing of the first patient in Part B of the SIGNAL-AA Phase 2a clinical trial. The Part B portion of SIGNAL-AA is an open-label clinical trial that enrolled 33 patients with severe or very severe AA (baseline Severity of Alopecia Tool (“SALT”) scores of 50-100), with a maximum duration of current episode of four years. Enrollment amongst patients with prior exposure to JAK inhibitor therapy was allowed; amongst the 33 enrolled patients, 36.4% had previously been treated with oral JAK inhibitors. Total enrollment exceeded the initial target due to patient demand. Patients are treated with bempikibart for 36 weeks, with off-drug follow-up through Week 52 before optional enrollment in an open-label extension (“OLE”). Dosing includes an initial loading regimen of 200mg of bempikibart dosed weekly for four doses, followed by a maintenance dose of 200mg every-other-week over a 32-week period for a total dosing period of 36 weeks. Across both regimens, bempikibart was administered subcutaneously.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Efficacy is evaluated on the basis of mean percentage change from baseline in SALT scores as well as the proportion of subjects achieving various relative and absolute SALT score improvements at week 36, with off-drug follow-up through week 52. The trial is intended to support advancement into pivotal trials upon completion, pending review of the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announced completion of enrollment in the SIGNAL-AA Part B clinical trial in October 2025. In May 2026, we announced that the first patient had been dosed in the OLE portion of Part 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2026, we announced 36-week topline results from the SIGNAL-AA Part B trial. The prespecified primary efficacy analysis was evaluated on the basis of mean percentage change from baseline in SALT scores in the modified intent-to-treat (“mITT”) population at Week 36. Additional prespecified 36-week efficacy analyses included the proportion of patients achieving various relative and absolute SALT improvements including SALT-20 (80% of scalp hair coverage), SALT30 (30% improvement in SALT score from baseline), and SALT50 (50% improvement in SALT score from baseline) responses at Week 36, with off-drug follow-up through Week 52.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topline efficacy results from Part B of SIGNAL-AA at Week 36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Mean percent reduction in SALT score from baseline of 35.3% in the mITT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40.0% (10/25) of patients in the mITT analysis and 30.3% (10/33) of patients in the intent-to-treat (“ITT”) analysis of all enrolled patients achieved a SALT20 response. Achievement of a SALT20 response was observed in patients with both severe and very severe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44.0% (11/25) of patients in the mITT analysis and 33.3% (11/33) of patients in the ITT analysis achieved SALT30 response.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44.0% (11/25) of patients in the mITT and 33.3% (11/33) of patients in the ITT analysis achieved SALT50 response.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signs of durability in the off-drug period include maintenance or deepening of response in multiple patients including one who achieved complete hair growth (SALT = 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Bempikibart was observed to have a generally well-tolerated safety profile in SIGNAL-AA Part B, consistent with prior studies. No new safety signals were observed. There were no serious adverse events or Grade 3 or higher adverse events related to treatment. The most common treatment-emergent adverse event was injection site reaction (“ISR”) (36.3%) which were primarily singular events, with ISR incidence of 4% across all Part B dose administrations. All ISRs reported were mild and resolved with no intervention, with the majority resolving within a day.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Bempikibart demonstrated a favorable PK, pharmacodynamic and ADA profile in Part B. PK data from Part B support the loading dose regimen had its intended effect, achieving steady state concentrations approximately 10 weeks earlier than in Part A. Negligible ADA was observed in Part 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 B off-drug follow-up period through Week 52 remains ongoing. We plan to report additional details from the Week 36 results as well as initial findings from Week 52 at a future medical meeting. Additionally, enrollment of eligible patients into the OLE remains ongoing. We expect to report completed OLE results in the second half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advance bempikibart into a registration-directed program in the first half of 2027 following planned regulatory discussions later this year.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SIGNAL-AA Part A OLE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emergence of Part A data suggesting durability of response in the off-drug follow-up from SIGNAL-AA Part A and given patient demand for continued dosing, we announced the initiation of an OLE in April 2025. The Part A OLE has been completed. Eight patients enrolled in the Part A OLE, spanning responders, non-responders, and placebo patients from the Part A treatment portion. Patients were off-drug for various time periods ranging from 26 to 55 weeks prior to re-dosing. In the Part A OLE, bempikibart continued to demonstrate a generally well-tolerated safety profile with longer-term dosing and no new safety issues. Patients who maintained hair at entry to the OLE were observed to have durable or further hair growth. In totality, the Part A OLE dataset supports the importance of a maintenance dosing regimen.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ADX-914-XL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bempikibart, we are also advancing ADX-914-XL, which is a half-life extended fully human anti-IL-7Rα antibody designed to re-regulate adaptive immune function by blocking IL-7 and TSLP signaling. Developed using half-life extension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ADX-914-XL is designed to provide the clinical activity and safety profile observed to date with bempikibart while offering an extended dosing schedule. ADX-914-XL is advancing in pre-clinical development.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ADX-097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ADX-097, a Phase 2 asset from our proprietary tissue-targeted complement inhibitor platform, is a humanized anti-C3d monoclonal antibody (“mAb”) fusion protein that completed Phase 1 clinical trials. In February 2025, we announced a corporate restructuring to focus on the advancement of bempikibart for the treatment of patients with AA. In November 2025, we sold to Akebia Therapeutics, Inc. (“Akebia”) substantially all of our assets related to the research, development, manufacture and commercialization of ADX-097 (the “ADX-097 Asset Sale”). Following the ADX-097 Asset Sale, Akebia is now responsible for any future development and commercialization of ADX-097. As consideration for the ADX-097 Asset Sale, we received an upfront payment of $7.0 million and a payment of $3.0 million on the six-month anniversary of the transaction. We will also receive a near-term milestone payment of $2.0 million upon the earlier of achievement of the first milestone under the Asset Purchase Agreement or December 31, 2026. In addition to these payments, we are eligible to receive up to $580 million upon the achievement of specified milestones, including up to $92.5 million related to development and regulatory milestones and up to $487.5 million related to commercial milestones. We are also eligible to receive tiered royalties on potential future sales of ADX-097 ranging from low single-digit to mid-teen percentages of annual net sales. The royalties will expire on a country-by-country basis on the later to occur of (a) the date of expiration of the last-to-expire valid claim of any transferred patent right that covers such product in such country, and (b) the tenth anniversary of the first commercial sale of such product.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ADX-096/Complement Inhibitor Platform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to ADX-097, we developed a proprietary tissue-targeted complement platform, which is designed to inhibit complement activation in the tissue while minimizing systemic complement blockade, a key differentiator versus current complement therapeutics. Other assets developed from our proprietary platform include ADX-096, a C3d mAb – CR</w:t>
      </w:r>
      <w:r>
        <w:rPr>
          <w:rFonts w:ascii="Times New Roman" w:hAnsi="Times New Roman"/>
          <w:color w:val="000000"/>
          <w:sz w:val="13"/>
        </w:rPr>
        <w:t xml:space="preserve">11-10 </w:t>
      </w:r>
      <w:r>
        <w:rPr>
          <w:rFonts w:ascii="Times New Roman" w:hAnsi="Times New Roman"/>
          <w:color w:val="000000"/>
          <w:sz w:val="20"/>
        </w:rPr>
        <w:t>fusion protein with preclinical data supportive of its use in ophthalmologic indications as well as potential utility in a broad range of other indications, and C3d mAb fusions and nanobodies designed for tissue-targeted complement inhibition.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retain the rights to our wholly owned tissue-targeted complement inhibitor platform, including ADX-096 and other remaining early-stage assets, and are continuing to evaluate strategic options for these programs.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16, 2026, pursuant to a shelf registration statement on Form S-3 (File No. 333-297027), we completed a public offering (the “Follow-On Financing”) wherein we sold 6,027,399 shares of our common stock, par value $0.0001 per share (the “common stock”), at a public offering price of $18.25 per share and pre-funded warrants to purchase up to 4,931,506 shares of our common stock at a public offering price of $18.2499 per pre-funded warrant. We received net proceeds of $187.6 million from the Follow-On Financing, after deducting underwriting discounts and commissions and offering expenses. In addition, we granted the underwriters a 30-day option to purchase up to an additional 1,643,835 shares of our common stock at the public offering price of $18.25 per share, less underwriting discounts and commissions.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24, 2026, we paid off the remaining balance in the amount of approximately $6.8 million under our Loan and Security Agreement (the “Loan Agreement”) with Silicon Valley Bank, a division of First-Citizens Bank &amp; Trust Company (“SVB”), pursuant to a Pay-Off Letter between us and SVB dated June 24, 2026. Accordingly, the Loan Agreement has been terminated.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28, 2026, we completed a private placement (the “Private Placement”) of our common stock and pre-funded warrants to purchase shares of our common stock. We sold 6,725,000 shares of our common stock at a price of $8.00 per share and pre-funded warrants to purchase up to 150,000 shares of our common stock at a price of $7.9999 per pre-funded warrant and received net proceeds of $53.4 million, after deducting placement agent fees and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20"/>
        </w:rPr>
        <w:t>On March 27, 2026,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(the “Sales Agent”), with respect to an at-the-market (“ATM”) offering program pursuant to which we may offer and sell, from time to time at our sole discretion, shares of our common stock through the Sales Agent. The shares offered and sold under the Sales Agreement are offered and sold pursuant to our shelf registration statement on Form S-3 (File No. 333-286491), which was filed with the SEC on April 11, 2025 and declared effective by the SEC on April 21, 2025. We filed a prospectus supplement with the SEC on March 27, 2026, pursuant to which we may offer and sell shares of common stock having an aggregate offering price of up to $14.2 million pursuant to the Sales Agreement. During the six months ended June 30, 2026, we sold 2,326,952 shares of our common stock and received gross proceeds of $14.2 million pursuant to the ATM. On April 24, 2026, we filed an additional prospectus supplement with the SEC, pursuant to which we may offer and sell additional shares having an aggregate offering price of up to $75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million pursuant to the Sales Agreement. As of June 30, 2026, there have been no shares sold under this additional prospectus supplement.</w:t>
      </w:r>
    </w:p>
    <w:p>
      <w:pPr>
        <w:pStyle w:val="TextBody"/>
        <w:bidi w:val="0"/>
        <w:spacing w:before="360" w:after="283"/>
        <w:jc w:val="left"/>
        <w:rPr>
          <w:rFonts w:ascii="Times New Roman" w:hAnsi="Times New Roman"/>
          <w:sz w:val="20"/>
        </w:rPr>
      </w:pPr>
      <w:r>
        <w:rPr>
          <w:rFonts w:ascii="Times New Roman" w:hAnsi="Times New Roman"/>
          <w:b/>
          <w:color w:val="000000"/>
          <w:sz w:val="20"/>
        </w:rPr>
        <w:t>Rights to Bempikibart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August 2022 until November 2023, Legacy Q32 was a party to the Collaboration and Option Agreement (the “Horizon Collaboration Agreement”) and the Asset Purchase Agreement (the “Purchase Agreement”, and together with the Horizon Collaboration Agreement, the “Horizon Agreements”), each between Legacy Q32 and Horizon Therapeutics Ireland DAC (“Horizon”), pursuant to which Legacy Q32 received $55.0 million in initial consideration and staged development funding to complete two ongoing Phase 2 trials for bempikibart, and granted Horizon an option to acquire the bempikibart program at a prespecified price, subject to certain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2023, Amgen Inc. (“Amgen”) completed the acquisition of Horizon Therapeutics public limited company (“Horizon plc”). Following the acquisition, Legacy Q32 agreed with Amgen to mutually terminate the Horizon Agreements. In November 2023, Legacy Q32 entered into a termination agreement with Horizon (the “Horizon Termination Agreement”), pursuant to which Horizon’s option to acquire the bempikibart program was terminated. As a result, Legacy Q32 retained the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 payments upon the first achievement of certain regulatory and sales milestones with respect to bempikibart. All amounts previously recognized were reversed in the fourth quarter of 2023 and a refund liability was established for the $55.0 million cash received during the term of the Horizon Collaboration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2025, we entered into an amendment to the Horizon Termination Agreement (the “Amgen Amendment”) with Amgen pursuant to which we issued Horizon a one-time equity grant of 553,695 shares of our common stock as full consideration of the milestone payments under the Horizon Termination Agreement. Following the transactions contemplated by the Amgen Amendment, we have no remaining obligations to Amgen, including with respect to the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and cash equivalents of $106.3 million. We expect that our cash and cash equivalents as of June 30, 2026, combined with proceeds received from the Follow-On Financing subsequent to June 30, 2026, will be sufficient to enable us to fund our operating expenses and capital expenditure requirements through topline Phase 3 results of bempikibart from our planned registration-directed program. This estimate is based on assumptions that may prove to be wrong, and we could use our capital resources sooner than currently anticipated.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expect our existing cash and cash equivalents will be sufficient for us to advance any of our programs through regulatory approval, and we will need to raise additional capital to complete the development and potential commercialization of any of our programs. We may also use a portion of our cash and cash equivalents to acquire, in-license or invest in products, technologies or businesses that are complementary to our business. The amounts and timing of actual expenditures will depend on numerous factors, including the progress of development efforts, operating costs and other factors described under “Risk Factors” in this Quarterly Report on Form 10-Q.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expected use of proceeds represents current intentions based upon present plans and business conditions. As of the date of this Quarterly Report on Form 10-Q, we cannot predict with complete certainty all of the particular uses for our current cash and cash equivalents or the actual amounts that we will spend on the uses set forth above.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not generated any revenue from product sales, and our management does not expect to generate any revenue from the sale of products in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recognized collaboration arrangement revenue in prior years as a result of the Horizon Agreements and later, the Horizon Termination Agreement and Amgen Amendment. Refer to Note 14 to our unaudited condensed consolidated financial statements appearing elsewhere in this Quarterly Report on Form 10-Q for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12529"/>
          <w:sz w:val="20"/>
        </w:rPr>
      </w:pPr>
      <w:r>
        <w:rPr>
          <w:rFonts w:ascii="Times New Roman" w:hAnsi="Times New Roman"/>
          <w:b/>
          <w:i/>
          <w:color w:val="212529"/>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since inception have consisted solely of research and development costs and general and administrative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account for a significant portion of our operating expenses and consist primarily of external and internal expenses incurred in connection with the discovery and development of our product candidates. External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our research and development activities, including costs related to agreements with third parties such as consultants, contractors and clinical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contract development and manufacturing organizations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quality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and stock-based compensation expense, for personnel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facilities-related expenses, depreciation, supplies, travel expenses and other allocated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third-party licensing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Costs are recognized based on an evaluation of the progress to completion of specific tasks using information provided to us by our service providers or our estimate of the level of service that has been performed at each reporting date.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allocate direct external research and development costs to specific programs or product candidates until there is an internally designated development candidate. We typically use our employee and infrastructure resources across our product candidates and development programs. We do not allocate personnel costs or other internal costs to research and development programs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future changes to our research and development expenses will depend significantly on the success of our clinical data. We expect that research and development expenses will increase substantially as we continue to advance our programs into and through clinical development. Product candidates in later stages of clinical development generally have higher development costs than those in earlier stages of clinical development, primarily due to the increased size and duration of later-stage clinical trials. At this time, we cannot accurately estimate or know the nature, timing and costs of the efforts that will be necessary to complete the preclinical and clinical development of any product candidates.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raise additional funds necessary to complete clinical development of and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initiation, enrollment and completion of clinical trials with safety, tolerability and efficacy profiles that are satisfactory to the FDA or any comparable foreign regulatory authority;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receipt and related terms of regulatory approvals from applicable regulatory authorities for any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raw materials for use in production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supply of product candidate components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current research and development programs and to establish new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and changing government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patents,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protect our other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commercializing product candidates, if and when approved, whether alone or in collaboration with others;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third-party insurance coverage and adequate reimbursement for any approved products.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primarily consist of salaries, bonuses, related benefits, and stock-based compensation expense for personnel in executive, finance, and administrative functions; professional fees for corporate legal and patent matters, consulting, accounting, and audit services; and travel expenses, insurance, technology costs and other allocated expenses. General and administrative expenses also include corporate facility costs, including rent, utilities, depreciation, and maintenance, not otherwise included in research and development expense. We recognize general and administrative expenses in the periods in which they are incurred. General and administrative expenses are expected to increase as we continue to operate as a public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consists of interest income primarily earned on money market fund accounts and interest expense related to our debt obligations.</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w:t>
      </w:r>
    </w:p>
    <w:p>
      <w:pPr>
        <w:pStyle w:val="TextBody"/>
        <w:bidi w:val="0"/>
        <w:jc w:val="left"/>
        <w:rPr/>
      </w:pPr>
      <w:r>
        <w:rPr/>
        <w:t> </w:t>
      </w:r>
    </w:p>
    <w:tbl>
      <w:tblPr>
        <w:tblW w:w="6623" w:type="dxa"/>
        <w:jc w:val="left"/>
        <w:tblInd w:w="0" w:type="dxa"/>
        <w:tblLayout w:type="fixed"/>
        <w:tblCellMar>
          <w:top w:w="28" w:type="dxa"/>
          <w:left w:w="28" w:type="dxa"/>
          <w:bottom w:w="28" w:type="dxa"/>
          <w:right w:w="28" w:type="dxa"/>
        </w:tblCellMar>
      </w:tblPr>
      <w:tblGrid>
        <w:gridCol w:w="2886"/>
        <w:gridCol w:w="146"/>
        <w:gridCol w:w="211"/>
        <w:gridCol w:w="631"/>
        <w:gridCol w:w="166"/>
        <w:gridCol w:w="146"/>
        <w:gridCol w:w="211"/>
        <w:gridCol w:w="631"/>
        <w:gridCol w:w="166"/>
        <w:gridCol w:w="146"/>
        <w:gridCol w:w="211"/>
        <w:gridCol w:w="481"/>
        <w:gridCol w:w="5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June 30, 2026 and 2025: </w:t>
      </w:r>
    </w:p>
    <w:p>
      <w:pPr>
        <w:pStyle w:val="TextBody"/>
        <w:bidi w:val="0"/>
        <w:jc w:val="left"/>
        <w:rPr/>
      </w:pPr>
      <w:r>
        <w:rPr/>
        <w:t> </w:t>
      </w:r>
    </w:p>
    <w:tbl>
      <w:tblPr>
        <w:tblW w:w="8338" w:type="dxa"/>
        <w:jc w:val="left"/>
        <w:tblInd w:w="0" w:type="dxa"/>
        <w:tblLayout w:type="fixed"/>
        <w:tblCellMar>
          <w:top w:w="28" w:type="dxa"/>
          <w:left w:w="28" w:type="dxa"/>
          <w:bottom w:w="28" w:type="dxa"/>
          <w:right w:w="28" w:type="dxa"/>
        </w:tblCellMar>
      </w:tblPr>
      <w:tblGrid>
        <w:gridCol w:w="4941"/>
        <w:gridCol w:w="146"/>
        <w:gridCol w:w="211"/>
        <w:gridCol w:w="571"/>
        <w:gridCol w:w="146"/>
        <w:gridCol w:w="146"/>
        <w:gridCol w:w="211"/>
        <w:gridCol w:w="571"/>
        <w:gridCol w:w="146"/>
        <w:gridCol w:w="146"/>
        <w:gridCol w:w="211"/>
        <w:gridCol w:w="481"/>
        <w:gridCol w:w="411"/>
      </w:tblGrid>
      <w:tr>
        <w:trPr/>
        <w:tc>
          <w:tcPr>
            <w:tcW w:w="4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Bempikibart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ADX-097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Personnel-related and consulting (including stock-based </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were $4.3 million for the three months ended June 30, 2026, compared to $5.2 million for the three months ended June 30, 2025. The decrease in direct research and development expenses was primarily due to a decrease of $0.9 million in ADX-097 expenses due to the sale of ADX-097 to Akebia in November 2025, partially offset by an increase of $0.6 million in spend related to our bempikibart program due to increased manufacturing costs and nonclinical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personnel-related and consulting costs was primarily related to lower headcount as compared to the prior year resulting from the corporate restructuring in February 2025. Personnel-related and consulting costs for the three months ended June 30, 2026 and 2025 included stock-based compensation expense of $0.2 million and $0.3 million,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$4.9 million for the three months ended June 30, 2026, compared to $4.0 million for the three months ended June 30, 2025. The increase of $0.9 million was primarily due to higher stock-based compensation expense and other operating expenses in the three months ended June 30, 2026, as compared to the three months ended June 30,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24, 2026, we paid off the remaining balance of our venture debt in the amount of approximately $6.8 million and recognized a loss on extinguishment of debt of $0.1 million in the three months ended June 30,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$0.3 million for the three months ended June 30, 2026, compared to other expense of $0.3 million for the three months ended June 30, 2025. The change of $0.6 million was primarily related to a loss recorded in the prior year for the change in fair value of the CVR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p>
      <w:pPr>
        <w:pStyle w:val="TextBody"/>
        <w:bidi w:val="0"/>
        <w:spacing w:before="120" w:after="283"/>
        <w:jc w:val="left"/>
        <w:rPr/>
      </w:pPr>
      <w:r>
        <w:rPr/>
        <w:t> </w:t>
      </w:r>
    </w:p>
    <w:tbl>
      <w:tblPr>
        <w:tblW w:w="6983" w:type="dxa"/>
        <w:jc w:val="left"/>
        <w:tblInd w:w="0" w:type="dxa"/>
        <w:tblLayout w:type="fixed"/>
        <w:tblCellMar>
          <w:top w:w="28" w:type="dxa"/>
          <w:left w:w="28" w:type="dxa"/>
          <w:bottom w:w="28" w:type="dxa"/>
          <w:right w:w="28" w:type="dxa"/>
        </w:tblCellMar>
      </w:tblPr>
      <w:tblGrid>
        <w:gridCol w:w="2886"/>
        <w:gridCol w:w="146"/>
        <w:gridCol w:w="211"/>
        <w:gridCol w:w="736"/>
        <w:gridCol w:w="166"/>
        <w:gridCol w:w="146"/>
        <w:gridCol w:w="211"/>
        <w:gridCol w:w="736"/>
        <w:gridCol w:w="166"/>
        <w:gridCol w:w="146"/>
        <w:gridCol w:w="211"/>
        <w:gridCol w:w="631"/>
        <w:gridCol w:w="5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w:t>
      </w:r>
    </w:p>
    <w:p>
      <w:pPr>
        <w:pStyle w:val="TextBody"/>
        <w:bidi w:val="0"/>
        <w:spacing w:before="120" w:after="283"/>
        <w:jc w:val="left"/>
        <w:rPr/>
      </w:pPr>
      <w:r>
        <w:rPr/>
        <w:t> </w:t>
      </w:r>
    </w:p>
    <w:tbl>
      <w:tblPr>
        <w:tblW w:w="8593" w:type="dxa"/>
        <w:jc w:val="left"/>
        <w:tblInd w:w="0" w:type="dxa"/>
        <w:tblLayout w:type="fixed"/>
        <w:tblCellMar>
          <w:top w:w="28" w:type="dxa"/>
          <w:left w:w="28" w:type="dxa"/>
          <w:bottom w:w="28" w:type="dxa"/>
          <w:right w:w="28" w:type="dxa"/>
        </w:tblCellMar>
      </w:tblPr>
      <w:tblGrid>
        <w:gridCol w:w="4941"/>
        <w:gridCol w:w="146"/>
        <w:gridCol w:w="211"/>
        <w:gridCol w:w="571"/>
        <w:gridCol w:w="146"/>
        <w:gridCol w:w="146"/>
        <w:gridCol w:w="211"/>
        <w:gridCol w:w="676"/>
        <w:gridCol w:w="146"/>
        <w:gridCol w:w="146"/>
        <w:gridCol w:w="211"/>
        <w:gridCol w:w="631"/>
        <w:gridCol w:w="411"/>
      </w:tblGrid>
      <w:tr>
        <w:trPr/>
        <w:tc>
          <w:tcPr>
            <w:tcW w:w="4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Bempikibart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ADX-097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Personnel-related and consulting (including stock-based </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Research and development expenses were $7.5 million for the six months ended June 30, 2026, compared to $12.3 million for the six months ended June 30, 2025. The decrease in direct research and development expenses was primarily due to a decrease of $1.5 million in ADX-097 expenses due to the sale of ADX-097 to Akebia in November 2025, as well as a decrease of $0.9 million in bempikibart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personnel-related and consulting costs was primarily related to lower headcount in the six months ended June 30, 2026 as compared to the prior year associated with the Restructuring Plan in February 2025. Personnel-related and consulting costs for the six months ended June 30, 2026 and 2025 included stock-based compensation expense of $0.4 million and $0.5 million,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$9.4 million for the six months ended June 30, 2026, compared to $9.1 million for the six months ended June 30, 2025. The increase of $0.3 million was primarily due to higher stock-based compensation expense and other operating expenses in the six months ended June 30, 2026, as compared to the six months ended June 30, 2025, partially offset by lower corporate legal and audit fees.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24, 2026, we paid off the remaining balance of our venture debt in the amount of approximately $6.8 million and recognized a loss on extinguishment of debt of $0.1 million in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was $0.4 million for the six months ended June 30, 2026, compared to $0.9 million for the six months ended June 30, 2025. Other income for the six months ended June 30, 2026 included interest income of $1.0 million, partially offset by interest expense related to our venture debt of $0.4 million, whereas other income for the six months ended June 30, 2025 included interest income of $1.3 million as well as a gain recorded for the change in fair value of the CVR liability of $0.4 million, partially offset by interest expense related to our venture debt of $0.6 million. The overall decrease in other income of $0.4 million was primarily related to higher interest income in the prior year due to higher interest rates as well as the gain recorded in the prior year for the change in fair value of the CVR liability.</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and negative cash flows from operations. We have not yet commercialized any of our product candidates, which are in various phases of preclinical and clinical development, and we do not expect to generate revenue from sales of any products for several years, if at all. To date, we have funded our operations primarily from proceeds from the sales of our convertible preferred stock and convertible notes, as well as proceeds from our venture debt, the ADX-097 Asset Sale, the Horizon Collaboration Agreement, the Merger with Homology and accompanying Pre-Closing Financing and the issuance of common stock and pre-funded warrants. From inception through June 30, 2026, we raised $136.0 million in aggregate cash proceeds, net of issuance costs, from the sales of our convertible preferred stock and convertible notes. In addition, we received $55.0 million in payments under the Horizon Collaboration Agreement, $12.5 million in proceeds from our venture debt, $61.3 million, net of issuance costs, in connection with the Merger with Homology, $42.0 million pursuant to the Pre-Closing Financing, $10.0 million pursuant to the ADX-097 Asset Sale, $10.4 million, net of issuance costs, from the issuance of common stock and pre-funded warrants in a Registered Direct Offering, $13.5 million, net of issuance costs, from the issuance of common stock pursuant to the ATM and $53.4 million, net of issuance costs, from the issuance of common stock and pre-funded warrants in the Private Placement. As of June 30, 2026, we had cash and cash equivalents of $106.3 million. </w:t>
      </w:r>
    </w:p>
    <w:p>
      <w:pPr>
        <w:pStyle w:val="TextBody"/>
        <w:bidi w:val="0"/>
        <w:spacing w:before="360" w:after="283"/>
        <w:jc w:val="left"/>
        <w:rPr>
          <w:rFonts w:ascii="Times New Roman" w:hAnsi="Times New Roman"/>
          <w:sz w:val="20"/>
        </w:rPr>
      </w:pPr>
      <w:r>
        <w:rPr>
          <w:rFonts w:ascii="Times New Roman" w:hAnsi="Times New Roman"/>
          <w:b/>
          <w:i/>
          <w:color w:val="000000"/>
          <w:sz w:val="20"/>
        </w:rPr>
        <w:t>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inception and, as of June 30, 2026, had an accumulated deficit of $221.5 million. We expect negative cash flows from operations and net losses for the foreseeable future as we continue to invest significantly in research and development of our product candidates and platform. We have not yet commercialized any product and do not expect to generate revenue from sales of any products for several years,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cash and cash equivalents of $106.3 million. We expect that our cash and cash equivalents as of June 30, 2026, combined with proceeds received from the Follow-On Financing subsequent to June 30, 2026, will be sufficient to enable us to fund our operating expenses and capital expenditure requirements through topline Phase 3 results of bempikibart from our planned registration-directed program. Management based its projections of operating capital requirements on our current operating plan, which includes several assumptions that may prove to be incorrect, and we may use all of our available capital resources sooner than management expects. We expect to seek to raise additional capital through private or public equity or debt financings, loans or other capital sources, which could include collaborations, partnerships or other marketing, distribution, licensing or other strategic arrangements with third parties, or from grants, and may be required to seek additional capital sooner than planned. However, there can be no assurances that we will be able to raise additional capital from these sources on favorable terms,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tbl>
      <w:tblPr>
        <w:tblW w:w="6589" w:type="dxa"/>
        <w:jc w:val="left"/>
        <w:tblInd w:w="0" w:type="dxa"/>
        <w:tblLayout w:type="fixed"/>
        <w:tblCellMar>
          <w:top w:w="28" w:type="dxa"/>
          <w:left w:w="28" w:type="dxa"/>
          <w:bottom w:w="28" w:type="dxa"/>
          <w:right w:w="28" w:type="dxa"/>
        </w:tblCellMar>
      </w:tblPr>
      <w:tblGrid>
        <w:gridCol w:w="3906"/>
        <w:gridCol w:w="146"/>
        <w:gridCol w:w="211"/>
        <w:gridCol w:w="676"/>
        <w:gridCol w:w="166"/>
        <w:gridCol w:w="146"/>
        <w:gridCol w:w="211"/>
        <w:gridCol w:w="736"/>
        <w:gridCol w:w="391"/>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Increase/(decrease) in cash, cash equivalents</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flows from operating activities are greatly influenced by our use of cash for operating expenses and working capital requirements to support our business. We have historically experienced negative cash flows from operating activities as we invested in developing clinical programs, drug discovery efforts and related infrastructure.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net cash used in operating activities was $9.4 million, which was primarily utilized for the funding of our operating expenses of $16.8 million as we incurred expenses associated with research and development activities including clinical trial activities associated with our bempikibart program. Non-cash expenses include stock-based compensation expense of $3.2 million, non-cash lease expenses of $0.3 million and depreciation expense of $0.2 million. The change in net operating assets and liabilities was primarily attributable to a decrease in prepaid expenses and other current assets of $3.4 million and an increase in accounts payable of $0.7 million, partially offset by a decrease in accrued expenses and other current liabilities of $0.4 million and a decrease in the operating lease liability of $0.3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used in operating activities was $23.1 million, which was primarily utilized for the funding of our operating expenses of $21.4 million as we incurred expenses associated with research and development activities including clinical trial activities associated with our bempikibart program. Non-cash expenses include stock-based compensation expense of $2.6 million, non-cash lease expenses of $0.3 million and depreciation expense of $0.2 million, partially offset by a gain of $0.4 million recognized on the change in fair value of the CVR liability. The change in net operating assets and liabilities was primarily attributable to a decrease in accrued expenses and other current liabilities of $3.1 million, a decrease in accounts payable of $2.1 million, an increase in other noncurrent assets of $0.5 million and a decrease in our operating lease liability of $0.3 million, partially offset by a decrease in prepaid expenses and other current assets of $0.4 million.</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net cash used in or provided by investing activities for the six months ended June 30, 2026 and 2025.</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consisted of $53.4 million of proceeds from the issuance of common stock and pre-funded warrants in the Private Placement, net of issuance costs, $13.5 million of proceeds from issuance of common stock pursuant to ATM, net of discounts and issuance costs, $10.4 million of proceeds from the issuance of common stock and pre-funded warrants in the Registered Direct Offering, slightly offset by $6.7 million for the payoff of the remaining balance on our venture debt and payments of $3.1 million of principal payments made pursuant to our venture debt. For the six months ended June 30, 2025, there was no net cash used in or provided by financing activities.</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substantially in connection with our ongoing research and development activities, particularly as we advance the preclinical activities and clinical trials of our product candidates. In addition, we expect to continue to incur additional costs associated with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researching and developing bempikibart and conducting larger and later-stage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progress, results, and costs of researching and developing other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future activities, including product sales, medical affairs, marketing, manufacturing, and distribution, for any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manufacturing commercial-grade products and sufficient inventory to support commercial launch;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revenue, if any, received from commercial sale of our products, should any of our product candidates receive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attracting, hiring, and retaining skilled personnel to support our operations and continued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maintain, and derive value from collaborations, partnerships or other marketing, distribution, licensing, or other strategic arrangements with third parties on favorable terms,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based on our current operating plan, our cash and cash equivalents as of June 30, 2026, combined with proceeds received from the Follow-On Financing subsequent to June 30, 2026, will be sufficient to enable us to fund our operating expenses and capital expenditure requirements through topline Phase 3 results of bempikibart from our planned registration-directed program. Management based its projections of operating capital requirements on our current operating plan, which includes several assumptions that may prove to be incorrect, and we may use all of our available capital resources sooner than we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complete the development of our product candidates and to build the sales, marketing and distribution infrastructure that management believes will be necessary to commercialize our product candidates, if approved, we will require substantial additional capital. Accordingly, until such time that we can generate sufficient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recent bank failures. The failure to obtain sufficient capital on acceptable terms when needed could have a material adverse effect on our business, results of operations or financial condition, including requiring us to delay, reduce or curtail our research, product development or future commercialization efforts. We may also be required to license rights to product candidates at an earlier stage of development or on less favorable terms than we would otherwise choose. Management cannot provide assurance that we will ever generate positive cash flow from operating activities.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space under an operating lease for administrative offices and lab space in Waltham, Massachusetts, which expires in December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contractual obligations and commitments as of June 30, 2026 (in thousands): </w:t>
      </w:r>
    </w:p>
    <w:p>
      <w:pPr>
        <w:pStyle w:val="TextBody"/>
        <w:bidi w:val="0"/>
        <w:jc w:val="left"/>
        <w:rPr/>
      </w:pPr>
      <w:r>
        <w:rPr/>
        <w:t> </w:t>
      </w:r>
    </w:p>
    <w:tbl>
      <w:tblPr>
        <w:tblW w:w="7201" w:type="dxa"/>
        <w:jc w:val="left"/>
        <w:tblInd w:w="0" w:type="dxa"/>
        <w:tblLayout w:type="fixed"/>
        <w:tblCellMar>
          <w:top w:w="28" w:type="dxa"/>
          <w:left w:w="28" w:type="dxa"/>
          <w:bottom w:w="28" w:type="dxa"/>
          <w:right w:w="28" w:type="dxa"/>
        </w:tblCellMar>
      </w:tblPr>
      <w:tblGrid>
        <w:gridCol w:w="2281"/>
        <w:gridCol w:w="146"/>
        <w:gridCol w:w="211"/>
        <w:gridCol w:w="571"/>
        <w:gridCol w:w="146"/>
        <w:gridCol w:w="146"/>
        <w:gridCol w:w="259"/>
        <w:gridCol w:w="701"/>
        <w:gridCol w:w="146"/>
        <w:gridCol w:w="146"/>
        <w:gridCol w:w="259"/>
        <w:gridCol w:w="701"/>
        <w:gridCol w:w="146"/>
        <w:gridCol w:w="146"/>
        <w:gridCol w:w="335"/>
        <w:gridCol w:w="670"/>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have agreements with certain vendors for various services, including services related to preclinical and clinical operations and support, for which we are not contractually able to terminate for convenience and avoid any and all future obligations to the vendors. Our most significant contracts relate to agreements with CROs for clinical trials and preclinical studies and CDMOs, which we enter into in the normal course of business. Certain agreements provide for termination rights subject to termination fees or wind down costs. Under such agreements, we are contractually obligated to make certain payments to vendors to reimburse them for their unrecoverable outlays incurred prior to cancellation. The exact amounts of such obligations are dependent on the timing of termination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and the exact terms of the relevant agreement and cannot be reasonably estimated. We do not include these payments in the table above as they are not fixed and estimable.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enter into standard indemnification agreements and/or indemnification sections in other agreements in the ordinary course of business. Pursuant to these agreements, we agree to indemnify, hold harmless and reimburse the indemnified party for losses suffered or incurred by the indemnified party, generally our business partners. The term of these indemnification agreements is generally perpetual upon execution of the agreement. The maximum potential amount of future payments we could be required to make under these indemnification agreements cannot be reasonably estimated and therefore is not included in the table above. </w:t>
      </w:r>
    </w:p>
    <w:p>
      <w:pPr>
        <w:pStyle w:val="TextBody"/>
        <w:bidi w:val="0"/>
        <w:spacing w:before="360" w:after="283"/>
        <w:jc w:val="left"/>
        <w:rPr>
          <w:rFonts w:ascii="Times New Roman" w:hAnsi="Times New Roman"/>
          <w:sz w:val="20"/>
        </w:rPr>
      </w:pPr>
      <w:r>
        <w:rPr>
          <w:rFonts w:ascii="Times New Roman" w:hAnsi="Times New Roman"/>
          <w:b/>
          <w:color w:val="000000"/>
          <w:sz w:val="20"/>
        </w:rPr>
        <w:t>Collaboration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Bempikibart—License Agreement – Bristol-Myers Squibb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Legacy Q32 entered into a license agreement, as amended in August 2021 and July 2022 (the “BMS License Agreement”) with Bristol-Myers Squibb Company (“BMS”), pursuant to which we obtained sublicensable licenses from BMS to research, develop and commercialize licensed products, including bempikibart, for any and all uses worldwide. The licenses granted to us are exclusive with respect to BMS’s patent rights and know-how relating to certain antibody fragments (including certain fragments of bempikibart) and non-exclusive with respect to BMS’s patent rights and know-how relating to the composition of matter and use of a specific region of bempikibart. BMS retained the right for it and its affiliates to use the exclusively licensed patents and know-how for internal, preclinical research purposes. Under the BMS License Agreement, we are prohibited from engaging in certain clinical development or commercialization of any antibody other than a licensed compound with the same mechanism of action until the earlier of the expiration of our obligation to pay BMS royalties or September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consideration for the license, we made an upfront payment to BMS of $8 million, issued 318,278 Series A preferred shares to BMS and agreed to use commercially reasonable efforts to develop and commercialize at least one licensed product in key geographic markets. In addition, we agreed to pay BMS (i) development and regulatory milestone payments in aggregate amounts ranging from $32 million to $49 million per indication for the first three indications and commercial milestone payments in an aggregate amount of up to $215 million on net sales of licensed products, (ii) tiered royalties ranging from rates in the mid-single digit percentages to up to 10% of net sales, with increasing rates depending on the cumulative net sales, (iii) up to 60% of sublicense income, which percentage decreases based on the development stage of bempikibart at the time of the sublicensing event, and (iv) ongoing fees associated with the prosecution, maintenance, or filing of the licensed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obligation to pay BMS royalties under subsection (ii) above commences, on a licensed product-by-licensed product and country-by-country basis, on the first commercial sale of a licensed product in a country and expires on the later of (x) 12 years from the first commercial sale of such licensed product in such country, (y) the last to expire licensed patent right covering bempikibart or such licensed product in such country, and (z) the expiration or regulatory or marketing exclusivity for such licensed product in such country (the “Royalty Term”). If we undergo a change of control prior to certain specified phase of development, the development and milestone payments are subject to increase by a low double digit percentage and the royalty rates are subject to increase by a low sub-single digit percentage.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terminated earlier by either party pursuant to its terms, the BMS License Agreement will expire on a country-by-country and licensed product-by-licensed product basis upon the expiration of the last to expire Royalty Term with respect to such licensed product in such country. Either party may terminate the BMS License Agreement for the other party’s material breach, subject to a specified notice and cure period. BMS may terminate the BMS License Agreement if we fail to meet our diligence obligations under the BMS License Agreement, for our insolvency, or if we or our affiliates challenges the validity, scope, enforceability, or patentability of any of the licensed patents. We may terminate the BMS License Agreement for any reason upon prior written notice to BMS, with a longer notice period if a licensed product has received regulatory approval. If the BMS Agreement is terminated for our material breach, BMS will regain rights to bempikibart and we must grant BMS an exclusive license under our patent rights covering bempikibart, subject to a low single digit percentage royalty on net sales of bempikibart payable to us by BMS. We have the right to terminate the agreement for any reason upon written notice, and therefore, this agreement has not been included in the discussion above. In July 2024, we made a $4.0 million development milestone payment to BMS.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Bempikibart – Collaboration and Option Agreement, Asset Purchase Agreement and Termination Agreement – Horizon Therapeutics Ireland DAC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August 2022 until November 2023, Legacy Q32 was a party to the Horizon Agreements, pursuant to which Legacy Q32 received $55.0 million in initial consideration and staged development funding to complete two ongoing Phase 2 trials for bempikibart, and granted Horizon an option to acquire the bempikibart program at a prespecified price, subject to certain adjustments.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2023, Amgen completed the acquisition of Horizon plc. Following its acquisition of Horizon plc, Legacy Q32 agreed with Amgen to mutually terminate the Horizon Agreements and in November 2023, Legacy Q32 and Horizon entered into the Horizon Termination Agreement, pursuant to which Horizon’s option to acquire the bempikibart program was terminated. As a result, Legacy Q32 retained all initial consideration and development funding received under the Horizon Collaboration Agreement and regained full development and commercial rights to bempikibart. In consideration for the Horizon Termination Agreement, Legacy Q32 agreed to pay Horizon regulatory and sales milestones payments of up to an aggregate amount of $75.1 million upon the first achievement of certain regulatory and sales milestones with respect to bempikibart.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2025, we entered into the Amgen Amendment pursuant to which we issued Horizon a one-time equity grant of 553,695 shares of our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and recognized collaboration arrangement revenue for the difference between the equity issuance, and the refund liability as the consideration was no longer constrained.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ADX-097—License Agreement – The Regents of the University of Colorado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2017, Legacy Q32 entered into an exclusive license agreement, as amended in February 2018, September 2018, and April 2019 (the “Colorado License Agreement”) with The Regents of the University of Colorado (“Colorado”), pursuant to which we obtained worldwide, royalty-bearing, sublicensable licenses under certain patents and know-how owned by Colorado and Medical University of South Carolina (“MUSC”), relating to the research, development and commercialization of ADX-097. The licenses granted to us were exclusive with respect to certain patent families and know-how and non-exclusive with certain other patent families and know-how. The licenses granted to us were also subject to certain customary retained rights of Colorado and MUSC and rights of the United States government owing to federal funding giving rise to inventions covered by the licensed patents. We agreed to use commercially reasonable efforts to develop, manufacture and commercialize ADX-097, including by using commercially reasonable efforts to achieve specified development and regulatory milestones by specified 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agreed to pay Colorado (i) development and sales milestone payments in an aggregate amount of up to $2.2 million per licensed product for the first three products, (ii) tiered royalty rates on cumulative net sales of licensed products in the low single digit percentages, (iii) 15% of sublicense income and (iv) ongoing fees associated with the prosecution, maintenance, or filing of the licensed patents. Our obligation to pay royalties to Colorado would commence, on a licensed product-by-licensed product and country-by-country basis, from the first commercial sale of a licensed product in any country and expires on the later of (i) the last to expire valid claim within the licensed patents covering such licensed product in such country, and (ii) 20 years following the effective date of the Colorado License Agreement, or April 2037, or the Royalty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28, 2025, in connection with the ADX-097 Asset Sale, the Colorado License Agreement was amended and restated and all of our rights and obligations thereunder were transferred to Akebia.</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condensed consolidated financial statements, which have been prepared in accordance with GAAP. The preparation of our condensed consolidated financial statements and related disclosures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We consider many factors in selecting appropriate financial accounting policies and controls, and in developing the estimates and assumptions that are used in the preparation of these condensed consolidated financial statements. We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we must select an amount that falls within that range of reasonable estimates. Actual results could materially differ from those estimates. </w:t>
      </w:r>
    </w:p>
    <w:p>
      <w:pPr>
        <w:pStyle w:val="TextBody"/>
        <w:bidi w:val="0"/>
        <w:spacing w:before="240" w:after="283"/>
        <w:jc w:val="left"/>
        <w:rPr>
          <w:rFonts w:ascii="Times New Roman" w:hAnsi="Times New Roman"/>
          <w:sz w:val="20"/>
        </w:rPr>
      </w:pPr>
      <w:r>
        <w:rPr>
          <w:rFonts w:ascii="Times New Roman" w:hAnsi="Times New Roman"/>
          <w:color w:val="000000"/>
          <w:sz w:val="20"/>
        </w:rPr>
        <w:t>Our critical accounting policies are described under the heading “</w:t>
      </w:r>
      <w:r>
        <w:rPr>
          <w:rFonts w:ascii="Times New Roman" w:hAnsi="Times New Roman"/>
          <w:i/>
          <w:color w:val="000000"/>
          <w:sz w:val="20"/>
        </w:rPr>
        <w:t>Critical Accounting Policies and Significant Judgments and Estimates</w:t>
      </w:r>
      <w:r>
        <w:rPr>
          <w:rFonts w:ascii="Times New Roman" w:hAnsi="Times New Roman"/>
          <w:color w:val="000000"/>
          <w:sz w:val="20"/>
        </w:rPr>
        <w:t>” in our Annual Report on Form 10-K for the year ended December 31, 2025. There were no material changes to our critical accounting policies during the three months ended June 30, 2026 from those discussed in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and certain recently adopted accounting pronouncements that have or may potentially impact our financial position and results of operations is included in Note 2 to our unaudited condensed consolidated financial statements appearing elsewhere in this Quarterly Report on Form 10-Q. We have determined that the effects of any such pronouncements will not have a material impact on our condensed consolidated financial position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Exchange Act of 1934 and are not required to provide the information under this item.</w:t>
      </w:r>
    </w:p>
    <w:p>
      <w:pPr>
        <w:pStyle w:val="TextBody"/>
        <w:bidi w:val="0"/>
        <w:spacing w:before="360" w:after="283"/>
        <w:jc w:val="left"/>
        <w:rPr>
          <w:rFonts w:ascii="Times New Roman" w:hAnsi="Times New Roman"/>
          <w:b/>
          <w:color w:val="000000"/>
          <w:sz w:val="20"/>
        </w:rPr>
      </w:pPr>
      <w:bookmarkStart w:id="11" w:name="item_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 specified in the SEC’s rules and forms, and that such information is accumulated and communicated to management, including our Chief Executive Officer (principal executive officer) and Chief Financial Officer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evaluated the effectiveness of our disclosure controls and procedures as of June 30, 2026 and, based on this evaluation, concluded that our internal control over financial reporting (as defined in Rules 13a-15(f) and 15d-15(f) under the Exchange Act) was effective as of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identified in connection with the evaluation required by Rule 13a-15(d) and 15d-15(d) of the Exchange Act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from the ordinary course of business. We record a liability for such matters when it is probable that future losses will be incurred and that such losses can be reasonably estimated. We are not currently party to any material legal proceedings.</w:t>
      </w:r>
    </w:p>
    <w:p>
      <w:pPr>
        <w:pStyle w:val="TextBody"/>
        <w:bidi w:val="0"/>
        <w:spacing w:before="360" w:after="283"/>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You should consider carefully the risks and uncertainties described below, together with all of the other information in this Quarterly Report on Form 10-Q and in our other filings with the Securities and Exchange Commission (the “SEC”). We operate in a dynamic and rapidly changing industry that involves numerous risks and uncertainties. The risks and uncertainties described below are not the only ones we face. Other risks and uncertainties, including those that we do not currently consider material, may impair our business. If any of the risks discussed below actually occur, our business, financial condition, operating results or cash flows could be materially adversely affected. Our actual results could differ materially from those anticipated in these forward-looking statements as a result of certain factors, including the risks we face as described below and elsewhere in this Quarterly Report on Form 10-Q.</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biotechnology product development is a highly speculative undertaking and entails substantial upfront expenditures and significant risks that any program will fail to demonstrate adequate efficacy or an acceptable safety profile, gain regulatory approval and become commercially viable. We have no products approved for commercial sale nor have we generated any revenue from product sales to date and we continue to incur significant research and development and other expenses related to our ongoing operations. We do not expect to generate product revenue unless or until it successfully completes clinical development and obtains regulatory approval of, and then successfully commercializes, at least one product candidate. We may never succeed in these activities and, even if it does, may never generate product revenue or revenues that are significant or large enough to achieve profitability. If we are unable to generate sufficient revenue through the sale of any approved products, it may be unable to continue operations without additional funding.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recurring operating losses since inception. Our net loss for the six months ended June 30, 2026 and 2025 was $16.6 million and $20.5 million, respectively. As of June 30, 2026, we had an accumulated deficit of approximately $221.5 million. We expect to continue to incur significant losses for the foreseeable future. Our operating expenses and net losses may fluctuate significantly from quarter to quarter and year to year.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existing and future programs through preclinical and clinical development, including expansion into additional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programs and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defend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establish and maintain additional collaborations and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establish a sales, marketing and distribution infrastructure to commercialize any drug products for which we may obtain marketing approval, either by ourselves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 commercial sales of products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personnel including research and development, clinical and commercial;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product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in-licenses products, intellectual property and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commercial-scale current good manufacturing practices (“cGMP”) capabilities through a third-party or our own manufacturing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product candidates, or there are any third-party challenges to our intellectual property or we need to defend against any intellectual property-related claim.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marketing approval for, and are successful in commercializing, one or more product candidates,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to become profitable would decrease our value and could impair our ability to raise capital, maintain our research and development efforts, expand our business and/or continue our operations. A decline in our value could also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biotechnology products is a very long, time-consuming, expensive and uncertain process that takes years to complete. Since inception, we have funded our operations primarily through private equity and debt financings and have incurred significant recurring losses. We expect our expenses to increase in connection with our ongoing activities, particularly as we conduct our clinical trials for bempikibart, initiate additional clinical trials, and continue to research, develop and conduct preclinical studies of our other potential product candidates, and continue to operate as a public company. In addition, if we obtain regulatory approval for any product candidate for commercial sale, we anticipate incurring significant commercialization expenses related to product manufacturing, marketing, sales and distribution activities to launch any such product. Our expenses could increase beyond expectations if we are required by the FDA or other regulatory agencies to perform preclinical studies or clinical trials in addition to those that we currently anticipate. Because the design and outcome of our current, planned and anticipated clinical trials are highly uncertain, and many of our near-term plans are subject to regulatory feedback, we cannot reasonably estimate the actual amount of funding that will be necessary to successfully complete the development and commercialization of any product candidate we develop. Our future capital requirements depend on many factors, including factors that are not within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continue to incur costs associated with operating as a public company. We will require substantial additional funding to continue our operations. Based on our current operating plan, we believe that our cash and cash equivalents as of June 30, 2026, combined with proceeds received from the Follow-On Financing subsequent to June 30, 2026, will be sufficient to enable us to fund our operating expenses and capital expenditure requirements through topline Phase 3 results of bempikibart from our planned registration-directed program. We have based this estimate on assumptions that may prove to be wrong, and we could use our available capital resources sooner than we currently expect.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including our ongoing Phase 2 clinical trial for bempikibart in alopecia areata (“AA”);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clinical programs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 acceptable safety profile with IND-enabling toxicology studies to enable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and the initiation and completion of, larger and later-stage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subject trial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extent of trials required for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subjects in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that participate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and discontinuation rate of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subject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encounter any serious adverse events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receipt of regulatory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terms of any marketing approvals and post-marketing approval commitments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establish or maintain collaborations, strategic partnerships, or other strategic arrangements with third parties, if any, and the performance of any such third parties in connection therewith;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and retaining research and development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arrangements with our contract development and manufacturing organizations (“CDMOs”), and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 and timely delivery of clinical and commercial-grade drug formulations that can be used in our planned clinical trials and for commercial launch, respectively;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any business interruptions to our operations or to those of the third parties with whom we work;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defending and enforcing patent claims and other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financing may not be available to us on acceptable terms, or at all, and we may be required to seek additional funds sooner than planned through public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our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or refinancing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product development programs, or grant licenses on terms that are not favorable to us. Our ability to raise additional capital may be adversely impacted by global macroeconomic conditions and volatility in the credit and financial markets in the U.S. and worldwide, over which we may have no or little control. Our failure to raise capital as and when needed or on acceptable terms would have a negative impact on our financial condition and ability to pursue our business strategy, and we may have to delay, reduce the scope of, suspend or eliminate clinical trials, product development programs or future commercialization efforts.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limited operating history. Since our inception in 2017, we have incurred significant operating losses and have utilized substantially all of our resources to conduct research and development activities (including with respect to our bempikibart program) and undertake preclinical studies of product candidates, as well as for conducting clinical trials of our most advanced product candidates and the manufacturing of such product candidates, business planning, developing and maintaining our intellectual property portfolio, hiring personnel, raising capital, and providing general and administrative support for these activities. We have limited significant experience as a company in initiating, conducting or completing clinical trials. In part because of this lack of experience, we cannot be certain that our current and planned clinical trials will begin or be completed on time, if at all. We have not yet demonstrated our ability to successfully complete Phase 3 or other pivotal clinical trials, obtain regulatory or marketing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Discovery, Development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competition from entities that have developed or may develop programs for the diseases we plan to address with bempikibart or other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drugs and biologics is highly competitive. Our product candidates may compete with other product candidates in development for similar indications, and if approved, bempikibart or other product candidates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registration for clinical trials, as well as in acquiring technologies complementary to, or necessary for, bempikibart 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have developed, are developing or may develop programs and processes competitive with bempikibart or other product candidates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any products we may develop, if any, or if competitors develop competing products or if generic products or biosimilars enter the market more quickly than we are able to, if at all, and are able to gain market acceptance. </w:t>
      </w:r>
    </w:p>
    <w:p>
      <w:pPr>
        <w:pStyle w:val="TextBody"/>
        <w:bidi w:val="0"/>
        <w:spacing w:before="360" w:after="283"/>
        <w:jc w:val="left"/>
        <w:rPr>
          <w:rFonts w:ascii="Times New Roman" w:hAnsi="Times New Roman"/>
          <w:sz w:val="20"/>
        </w:rPr>
      </w:pPr>
      <w:r>
        <w:rPr>
          <w:rFonts w:ascii="Times New Roman" w:hAnsi="Times New Roman"/>
          <w:b/>
          <w:i/>
          <w:color w:val="000000"/>
          <w:sz w:val="20"/>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on the market and bempikibart and the rest of our pipeline are in the early stages of development. As a result, we expect it will be many years before we commercialize any product candidate, if any. Our ability to achieve and sustain profitability depends on obtaining regulatory approvals for, and successfully commercializing, bempikibart or other product candidates either alone or with third parties, and we cannot guarantee that we will ever obtain regulatory approval for any product candidates. We have limited experience as a company in conducting and managing the clinical trials necessary to obtain regulatory approvals, including approval by the FDA or comparable foreign regulatory authorities. We have also not yet demonstrated our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product candidates, we or an existing or future collaborator must conduct extensive preclinical tests and clinical trials to demonstrate the safety and efficacy in humans of such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collaborators may experience delays in initiating or completing clinical trials. We or our collaborators also may experience numerous unforeseen events during, or as a result of, any current or future clinical trials that could delay or prevent our ability to receive marketing approval or commercialize bempikibart or any other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(“IRBs”), the FDA or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CROs,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sites deviating from trial protocol or dropping out of a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of any our product candidates may be larger than we anticipate, especially if regulatory bodies require completion of non-inferiority or superiority trials compared to approved products, enrollment in these clinical trials may be slower than we anticipate or subjects may drop out of these clinical trials or fail to return for post-treatment follow-up at a higher rate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or expand the scope of our planned clinical trials to accrue sufficient data from such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any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of our product candidates or other materials necessary to conduct clinical trials of our product candidates may be inadequate to initiate or complete a given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sufficient quantities of our product candidates for use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reports from clinical testing of other therapies may raise safety or efficacy concerns about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establish an appropriate safety profile for a product candidate based on clinical or preclinical data for such product candidate as well as data emerging from other therapies in the same class as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other regulatory authorities may require us to submit additional data such as long-term toxicology studies or impose other requirements before permitting us to initiate a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Commencing clinical trials in the U.S. is subject to the FDA allowing an Investigational New Drug Application (“IND”) to proceed after an evaluation of the proposed clinical trial design. In the event that the FDA requires us to complete additional preclinical studies or we are required to satisfy other FDA requests prior to commencing clinical trials, the start of our clinical trials may be delayed.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comparable processes and risks applicable to clinical trial applications needed to initiate clinical trials in other countries, including countries in the European Union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have the financial resources to continue development of, or to modify existing or enter into new collaborations for, a product candidate if we experience any issues that delay or prevent regulatory approval of, or our ability to commercialize, bempikibart or any other product candidates. We or our current or future collaborators’ inability to complete development of, or commercialize, bempikibart or any other product candidates or significant delays in doing so, could have a material and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substantially dependent on the success of our most advanced product candidate, bempikibart, and our clinical trials of our lead candidate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is substantially dependent on our, or our current or future strategic partners’, ability to timely obtain marketing approval for, and then successfully commercialize, our most advanced product candidate, bempikibart. We are investing a majority of our efforts and financial resources into the research and development of bempikibart. We are developing bempikibart to treat autoimmune and inflammatory diseases, with the aim of achieving the optimal balance of efficacy, tolerability and convenience for patients via infrequently administered subcutaneous doses. We have completed a Phase 1 double-blind, placebo-controlled, single ascending dose and multiple dose study to assess the safety, pharmacokinetic (“PK”) and pharmacodynamic (“PD”) of bempikibart after subcutaneous administration in healthy subjects. This study supported further evaluation of bempikibart, including through demonstration of a PK/PD profile supporting evaluation of every two-week subcutaneous dosing in clinical trials. Subsequent to this study, we advanced bempikibart into two Phase 2a clinical trials. The Phase 2a SIGNAL-AD trial evaluated the use of bempikibart (ADX-914) for the treatment of atopic dermatitis (“AD”) and the Phase 2a SIGNAL-AA trial is evaluating bempikibart for the treatment of alopecia areata (“AA”). We completed enrollment and dosing through the 12-week and 24-week periods for the SIGNAL-AD and SIGNAL-AA trials, respectively, and in December 2024, we announced topline data from both clinical trials,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well as our intention to advance bempikibart for the treatment of AA. In April 2025, we announced dosing of the first patients in both the Part A open-label extension and Part B of the SIGNAL-AA Phase 2a clinical trials and in October 2025, we announced completion of enrollment in Part B of the SIGNAL-AA Phase 2a clinical trial, and in May 2026, we announced that the first patient has been dosed in the OLE portion of Part B. In July 2026, we announced topline results from the Part B of the SIGNAL-AA Phase 2a signal finding clinical trial evaluating bempikibart (ADX-914) in patients with AA and the Part A open-label extension. The success of bempikibart may depend on having a comparable safety and efficacy profile and a more favorable dosing schedule (i.e., less frequent dosing) with patient-friendly administration (i.e., S.C. self-administration) to products currently approved or in development for the indications we plan to pursue.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previously completed a Phase 1 clinical trial of ADX-097 in healthy volunteers and initiated a Phase 2 clinical trial of this candidate. However, in November 2025, we sold to Akebia substantially all of our assets related to the research, development, manufacture and commercialization of ADX-097. Following the sale, Akebia is now responsible for any future development and commercialization of ADX-097.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Bempikibart will require additional clinical development, evaluation of clinical and manufacturing activities, marketing approval in multiple jurisdictions, substantial investment and significant marketing efforts before we generate any revenues from product sales, if any. We are not permitted to market or promote any product candidates, before we receive marketing approval from the FDA and/or comparable foreign regulatory authorities, and we may never receive such marketing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bempikibart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or other third party. Accordingly, we cannot guarantee that we will ever be able to generate revenue through the sale of any of our product candidates, even if approved. If we are not successful in commercializing bempikibart, or are significantly delayed in doing so, our business will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achieve our projected development goals in the time frames we announce and expect, the commercialization of bempikibart or any other product candidates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preclinical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bempikibart or any other product candidates may be delayed or never achieved.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the discovery and development of product candidates is unproven, and we may not be successful in our efforts to build a pipeline of product candidates with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approach to the discovery and/or development of bempikibart leverages the understanding of cytokine and complement biology in diverse tissues and indications. Bempikibart is directed at target pathways, IL-7 and thymic stromal lymphopoietin (“TSLP”) signaling, that have been implicated in several inflammatory and autoimmune diseases. However, the scientific research that forms the basis of efforts to develop bempikibart is ongoing and has not been successfully proven in clinical trials. The long-term safety and exposure profile of bempikibart is also unknown.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ultimately discover that our technologies for our specific targets and indications and bempikibart and any product candidates resulting therefrom do not possess certain properties required for therapeutic effectiveness. For our lead candidate, we currently have only data from our Phase 1 clinical trial and our Phase 2 Part A AA and AD clinical trials and our Phase 2a Part B AA clinical trial, and the same data or results may not be seen in larger, later-stage clinical trials. In addition, product candidates using investigational technologies and approaches may demonstrate different chemical and pharmacological properties in patients than they do in laboratory studies and bempikibart may interact with human biological systems in unforeseen, ineffective or possibly harmful ways.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 the future seek to discover and develop product candidates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product candidates. We and our existing or future collaborators may never receive approval to market and commercialize bempikibart or future product candidates. Even if we or an existing or future collaborator obtains regulatory approval, the approval may be for targets, disease indications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populations that are not as broad as we intended or desired or may require labeling that includes significant use or distribution restrictions or safety warnings. </w:t>
      </w:r>
    </w:p>
    <w:p>
      <w:pPr>
        <w:pStyle w:val="TextBody"/>
        <w:bidi w:val="0"/>
        <w:spacing w:before="360" w:after="283"/>
        <w:jc w:val="left"/>
        <w:rPr>
          <w:rFonts w:ascii="Times New Roman" w:hAnsi="Times New Roman"/>
          <w:sz w:val="20"/>
        </w:rPr>
      </w:pPr>
      <w:r>
        <w:rPr>
          <w:rFonts w:ascii="Times New Roman" w:hAnsi="Times New Roman"/>
          <w:b/>
          <w:i/>
          <w:color w:val="000000"/>
          <w:sz w:val="20"/>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non-human primates (“NHPs”) to conduct certain preclinical studies that we are required to complete prior to submitting an IND and initiating clinical development. There is currently a global shortage of certain types of NHPs available for Good Laboratory Practice (“GLP”) testing for drug development. This could cause the cost of obtaining NHPs for our future preclinical studies to increase significantly, and if the shortage continues, and could result in delays to our development timelines. 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have conducted, and may in future conduct, an “open-label” clinical trial. An open-label trial is one where both the patient and investigator know whether the patient is receiving the investigational product candidate. Such trials may test only the investigational product candidate and sometimes may do so at different dose levels. Open-label trials are subject to various limitations that may exaggerate any therapeutic effect as patients in such trials are aware when they are receiving treatment. Open-label trials may be subject to a “patient bias” where patients perceive their symptoms to have improved merely due to their awareness of receiving an experimental treatment. In addition, open-label trials may be subject to an “investigator bias” where those assessing and reviewing the physiological outcomes of the trials are aware of which patients have received treatment and may interpret the information of the treated group more favorably given this knowledge. The results from an open-label trial may not be predictive of future clinical trial results with our product candidates when studied in a controlled environment with a placebo or active control. In addition, we expect to rely on patients to provide feedback on measures which are subjective and inherently difficult to evaluate. These measures can be influenced by factors outside of our control, and can vary widely from day to day for a particular patient, and from patient to patient and from site to site within a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plan to seek regulatory guidance in designing and conducting our development plans, we cannot be sure that the FDA or comparable foreign regulatory authorities will agree with these plans. If the FDA or comparable regulatory authorities requires us to revise or amend a clinical trial, generate additional pre-clinical data in support of clinical conduct (e.g., toxicology studies), conduct additional trials or enroll additional patients, our development timelines may be delayed. We cannot be sure that submission of an IND, clinical trial application (“CTA”)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authorities on study design or implementation of the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or failure in obtaining regulatory authorization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IRB or ethics committee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patient enrollment in our clinical trials for a variety of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protocols;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(“GCPs”), or regulations or applicable regulations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clinical trial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observation or analyses of resulting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a CDMO, and delays or failure by our CDMOs or us to make any necessary changes to such manufacturing processes;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being unwilling or unable to satisfy their contractual obligations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placed on clinical hold, suspended or terminated by us, the FDA, the competent authorities of the EU Member States or other regulatory authorities or the IRBs or ethics committees of the institutions in which such trials are being conducted, if a clinical trial is recommended for suspension or termination by the data safety monitoring board (“DSMB”), or equivalent body for such trial, or on account of changes to federal, state, or local laws. If we are required to conduct additional clinical trials or other testing of bempikibart or any other product candidates beyond those that we contemplate, if we are unable to successfully complete clinical trials of bempikibart or any other product candidates, if the results of these trials are not positive or are only moderately positive or if there are safety concerns, our business and results of operations may be adversely affected and we may incur significant additional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identify or discover additional product candidates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key part of our long-term business strategy is to identify and develop additional product candidates. Our preclinical research and clinical trials may initially show promise in identifying potential product candidates yet fail to yield product candidates for clinical development for a number of reasons. For example, we may be unable to identify or design additional product candidates with the pharmacological and pharmacokinetic drug properties that we desire, including, but not limited to, adequate tissue targeting, acceptable safety profile or the potential for the product candidate to be delivered in a convenient formulation. Research programs to identify new product candidates require substantial technical, financial, and human resources. If we are unable to identify suitable complement targeting strategies for preclinical and clinical development, we may not be able to successfully implement our business strategy, and may have to delay, reduce the scope of, suspend or eliminate one or more of our product candidates, clinical trials or future commercialization efforts, which would negatively impact our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encounter difficulties enrolling patients in our future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difficulties in patient enrollment in our future clinical trials for a variety of reasons. The timely completion of clinical trials in accordance with their protocols depends, among other things, on the ability to enroll a sufficient number of patients who remain in the trial until its conclusion. The enrollment of patients in future trials for bempikibart or any other product candidates will depend on many factors, including if patients choose to enroll in clinical trials, rather than using approved products, or if our competitors have ongoing clinical trials for product candidates that are under development for the same indications as our product candidates, and patients instead enroll in such clinical trials. Additionally, the number of patients required for clinical trials of bempikibart or any other product candidates may be larger than we anticipate, especially if regulatory bodies require the completion of non-inferiority or superiority trials compared to approved products.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 </w:t>
      </w:r>
    </w:p>
    <w:p>
      <w:pPr>
        <w:pStyle w:val="TextBody"/>
        <w:bidi w:val="0"/>
        <w:spacing w:before="360" w:after="283"/>
        <w:jc w:val="left"/>
        <w:rPr>
          <w:rFonts w:ascii="Times New Roman" w:hAnsi="Times New Roman"/>
          <w:sz w:val="20"/>
        </w:rPr>
      </w:pPr>
      <w:r>
        <w:rPr>
          <w:rFonts w:ascii="Times New Roman" w:hAnsi="Times New Roman"/>
          <w:b/>
          <w:i/>
          <w:color w:val="000000"/>
          <w:sz w:val="20"/>
        </w:rPr>
        <w:t>Preliminary, “topline” or interim data from our clinical trials that we announce or publish from time to time may change as more patient data becomes available and are subject to audit and verification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preliminary or topline data should be viewed with caution until the final data is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a particular product candidate and us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bempikibart or any other product candidate may be harmed, which could harm our business, operating results, prospects or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or future clinical trials or those of our future collaborators may reveal significant adverse events or undesirable side effects not seen in our preclinical and/or early clinical studies and may result in a safety profile that could halt clinical development, inhibit regulatory approval or limit commercial potential or market acceptance of any of bempikibart or any other product candidates or result in potential product liability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side effects, adverse events or unexpected characteristics. While our completed preclinical studies and our completed and ongoing clinical trials in humans have not shown any such characteristics to date, significant further evaluation must be done of each of our product candidates. If significant adverse events or other side effects are observed in any of our current or future clinical trials, we may have difficulty recruiting patients to such trials, patients may drop out of our trials, patients may be harmed, or we may be required to abandon the trials or our development efforts of one or more product candidates altogether. We, the FDA, the European Medicines Agency (the “EMA”), or other applicable regulatory authorities, or an IRB or ethics committee, may suspend any clinical trials of bempikibart or any other product candidates at any time for various reasons, including a belief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Even if the side effects do not preclude a product candidate from obtaining or maintaining marketing approval, undesirable side effects may inhibit market acceptance of an approved product due to its tolerability versus other therapies. Treatment-emergent adverse events could also affect patient recruitment or the ability of enrolled subjects to complete our clinical trials or could result in potential product liability claims. Potential side effects associated with bempikibart or any other product candidates may not be appropriately recognized or managed by the treating medical staff, as toxicities resulting from bempikibart or any other product candidates may not be normally encountered in the general patient population and by medical personnel. Any of these occurrences could harm our business, financial condition, results of operations and prospects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even if we successfully advance bempikibart or any other product candidates through clinical trials, such trials will only include a limited number of patients and limited duration of exposure to such product candidates. As a result, we cannot be assured that adverse effects of bempikibart or any other product candidates will not be uncovered when a significantly larger number of patients are exposed to such product candidate after approval. Further, any clinical trials may not be sufficient to determine the effect and safety consequences of using our product candidate over a multi-year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 foregoing events occur or if bempikibart or any other product candidates prove to be unsafe, our entire pipeline could be affected, which would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such as bempikibart, and fail to capitalize on candidates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intend to focus our research and development efforts on certain selected product candidates. For example, we initially focused on our most advanced product candidates, bempikibart and ADX-097, and in November 2025, we sold to Akebia substantially all of our assets related to the research, development, manufacture and commercialization of ADX-097. As a result, we may forgo or delay pursuit of opportunities with other potential candidates that may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candidate through collaboration, licensing or other royalty arrangements in cases in which it would have been more advantageous for us to retain sole development and commercialization rights to such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regulatory approval is obtained, any approved products may not achieve adequate market acceptance among clinicians, patients, healthcare third-party payors and others in the medical community necessary for commercial success and we may not generate any future revenue from the sale or licensing of such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regulatory approval is obtained for bempikibart or any other product candidates,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AA. Market participants with significant influence over acceptance of new treatments, such as clinicians and third-party payors, may not adopt a drug or biologic with a target product profile such as that of bempikibart for its targeted indications, and we may not be able to convince the medical community and third-party payors to accept and use, or to provide favorable reimbursement for, any product candidates developed by us or our existing or future collaborators. Market acceptance of bempikibart or any other product candidates will depend on many factors, including factors that are not within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products also depend on the willingness of clinicians to prescribe the treatment. We cannot predict whether clinicians, clinicians’ organizations, hospitals, other healthcare providers, government agencies or private insurers will determine that any of our approved products are safe, therapeutically effective, cost effective or less burdensome as compared with competing treatments. If bempikibart or any other product candidate is approved but does not achieve an adequate level of acceptance by such parties, we may not generate or derive sufficient revenue from that product and may not become or remain profitable.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commercialized a product candidate and may lack the necessary expertise, personnel and resources to successfully commercialize a product candidate on our own or together with suitable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and we currently have no sales force, marketing or distribution capabilities. To achieve commercial success for a product candidate, which we may license to others, we may rely on the assistance and guidance of those collaborators. For a product candidate for which we retain commercialization rights and marketing approval, we will have to develop our own sales, marketing and supply organization or outsource these activities to a third party. Factors that may affect our ability to commercialize a product candidate, if approved, on our own include recruiting and retaining adequate numbers of effective sales and marketing personnel, developing adequate educational and marketing programs to increase public acceptance of our approved product candidate, ensuring regulatory compliance of us,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We may not be able to build an effective sales and marketing organization. If we are unable to build our own distribution and marketing capabilities or to find suitable partners for the commercialization of an approved product candidate, we may not generate revenues from them or be able to reach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never completed any late-stage clinical trials and we may not be able to submit applications for regulatory authorizations to commence additional clinical trials on the timelines we expect, and, even if we are able to, the FDA, EMA or comparable foreign regulatory authorities may not permit us to proceed and could also suspend/terminate the trial after it has been initiated.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will need to successfully complete later-stage and pivotal clinical trials in order to obtain FDA, EMA or comparable foreign regulatory approval to market our product candidates. Carrying out clinical trials and the submission of a successful IND or CTA is a complicated process. As an organization, we have limited experience as a company in preparing, submitting and prosecuting regulatory filings. We may not be able to initiate or complete our planned clinical trials in accordance with our desired timelines. For example, we may experience manufacturing delays or other delays with IND-or CTA-enabling studies, including with suppliers, trial sites, or third-party contractors and vendors on whom we depend. Moreover, we cannot be sure that submission of an IND or a CTA or submission of a trial to an IND or a CTA will result in the FDA or EMA or comparable foreign regulatory authorities allowing further clinical trials to begin, or that, once begun, issues will not arise that lead us to suspend or terminate clinical trials. Upon submission of an IND or CTA, the FDA or EMA may recommend changes to the proposed trial designs, which may impact the number and size of registrational clinical trials required to be conducted in such development programs and may change predicted timelines for clinical development. Consequently, we may be unable to successfully and efficiently execute and complete necessary clinical trials in a way that leads to regulatory submission and approval of our product candidates. Additionally, even if regulatory authorities agree with the design and implementation of the clinical trials set forth in an IND or a CTA, such regulatory authorities may change their requirements in the future. The FDA, EMA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file INDs or CTAs, initiate clinical trials, or obtain regulatory authorizations for our trials may prevent us from completing our clinical trials or commercializing our products on a timely basis, if at all. We are subject to similar risks related to the review and authorization of our protocols and amendments by comparable foreign regulatory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protect our patents and other proprietary rights is uncertain, exposing us to the possible loss of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upon a combination of patents, trade secret protection and confidentiality agreements to protect the intellectual property related to our product candidates and to prevent third parties from infringing on our patents and trademarks or misappropriating or violating our other intellectual property rights, thus eroding our competitive position in our market. Our success depends in large part on our ability to obtain and maintain patent protection for our product candidates and their uses, components, formulations, methods of manufacturing and methods of treatment, as well as our ability to operate without infringing on or violating the proprietary rights of others. We have licensed know-how and patent families that pertain to, among other things, composition of matter and certain methods of use relating to our leading product candidate, bempikibart. We seek to protect our proprietary position by filing patent applications in the United States and abroad related to our product candidates and novel discoveries that are important to our business. Our intellectual property strategy is, where appropriate, to file new patent applications on inventions, including improvements to existing products candidates and processes to improve our competitive edge or to improve business opportunities. We continue to assess and refine our intellectual property strategy to ensure appropriate protection and rights are secured. However,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Composition of matter patents for biotechnology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the composition of matter of our product candidates will be considered patentable by the United States Patent and Trademark Office, or USPTO, or by patent offices in foreign jurisdictions, or that the claims in any of our issued patents will be considered valid and enforceable by courts in the United States or foreign jurisdictions.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current or future patent applications may not result in patents being issued which protect our technology or drug candidates or which do not effectively prevent others from commercializing competitive technologies and drug candidates. The patent examination process may require us or our licensors to narrow the scope of our claims or our licensors’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application from being issued as a patent.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does not ensure that it is valid or enforceable, nor does it give us the right to practice the patented invention. Issued patents may be challenged, narrowed, invalidated or circumvented and third parties may have blocking patents that could prevent us from commercializing our product candidates or technologies. While we endeavor to identify and circumvent third-party patents and patent applications which may block our product candidates or technologies to minimize this risk, relevant documents may be overlooked or missed, which may in turn impact our ability to commercialize the relevant asset. In addition, court decisions may introduce uncertainty in the enforceability or scope of patents owned by pharmaceutical and biotechnology companies. Thus, any of our issued patents, including patents that we may rely on to protect our market for approved drugs, may be held invalid or unenforceable by a court of final jurisdiction.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third party may also claim that our patent rights are invalid or unenforceable in a litigation. The outcome following legal assertions of invalidity and unenforceability is unpredictable. An adverse result in any legal proceeding could put one or more of our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patent applications in the U.S., Europe and many other jurisdictions are typically not published until 18 months after filing, and because publications of discoveries in scientific literature lag behind actual discoveries, we cannot be certain that we were the first to make the inventions claimed in our issued patents or future patent applications, or that we were the first to file for protection of the inventions set forth in our patents or patent applications. As a result, we may not be able to obtain or maintain protection for certain inventions. Therefore, the enforceability and scope of our future patents in the U.S., Europe and in many other jurisdictions cannot be predicted with certainty and, as a result, any future patents that we own, or license may not provide sufficient protection against competitors. We may not be able to obtain or maintain patent protection from our patent applications that we may file in the future, or from those we may license from third parties. Moreover, even if we are able to obtain patent protection, such patent protection may be of insufficient scope to achieve our business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dependent on patents rights, know-how and proprietary technology licensed from third parties. In particular, we depend substantially on our license agreement with Bristol Myers Squibb Company (“BMS”), under which we in-license patent rights and know-how that cover bempikibart (the “BMS Agreement”). For more information regarding the BMS Agreement, please see the section titled “</w:t>
      </w:r>
      <w:r>
        <w:rPr>
          <w:rFonts w:ascii="Times New Roman" w:hAnsi="Times New Roman"/>
          <w:i/>
          <w:color w:val="000000"/>
          <w:sz w:val="20"/>
        </w:rPr>
        <w:t>Business– Collaboration and License Agreements</w:t>
      </w:r>
      <w:r>
        <w:rPr>
          <w:rFonts w:ascii="Times New Roman" w:hAnsi="Times New Roman"/>
          <w:color w:val="000000"/>
          <w:sz w:val="20"/>
        </w:rPr>
        <w:t xml:space="preserve">” in our Annual Report on Form 10-K for the year ended December 31, 2025. We may also enter into additional agreements with third parties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future license agreements may impose diligence, development and commercialization timelines, milestone payments, royalties, indemnification, insurance, or other obligations on us. For example, under the BMS License Agreement, the counterparty may terminate the agreement if we fail to meet our diligence obligations, including using commercially reasonable efforts to meet diligence milestones by specified dates. If we fail to comply with our obligations to our licensors or collaborators, our counterparty may have the right to terminate this agreement. Termination of this agreement or reduction or elimination of our rights under this agreement may result in us having to negotiate a new or reinstated agreement with less favorable terms, or cause us to lose our rights under this agreement, including our rights to important intellectual property or technology that are necessary for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patent filings relating to our product candidates may be subject to step-in rights of certain of our licensors. We may have limited control over our licensor’s activities or use or licensing of any other intellectual property that may be related to our in-licensed intellectual property. If any of our licensors or licensees having rights to file, prosecute, maintain, and defend our patent rights fail to conduct these activities for patents or patent applications covering any of our product candidates, our ability to develop and commercialize those product candidates may be adversely affected and we may not be able to prevent competitors or other third parties from making, using or selling competing products. We cannot be certain that such activities by our licensors have been or will be conducted in compliance with applicable laws and regulations or will result in valid and enforceable patents or other intellectual property rights. Pursuant to the terms of the license agreements with our licensors, such licensors may have the right to control enforcement of our licensed patents or defense of any claims asserting the invalidity of such patents and, even if we are permitted to pursue such enforcement or defense, we cannot ensure the cooperation of our licensors or, in some cases, other necessary parties, such as any co-owners of patents or other intellectual property from which we have not yet obtained a license. We cannot be certain that our licensors, and in some cases, their co-owners,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applications, enforcement of licensed patents, or defense of claims asserting the invalidity of those patents, we may still be adversely affected or prejudiced by actions or inactions of our licensors and their counsel that took place prior to or after assuming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or future license agreements may not provide exclusive or sufficient rights to use such intellectual property and technology in all relevant fields of use and in all territories in which we may wish to develop or commercialize our product candidates in the future. Some licenses granted to us may be subject to certain preexisting rights held by the licensors or certain third parties. As a result, we may not be able to prevent third parties from developing and commercializing competitive products in certain territories or fields.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that our third party licensors determine that, in spite of our efforts, we have materially breached a license agreement or have failed to meet certain obligations thereunder, it may elect to terminate the license agreement or, in some cases, one or more license(s) under the applicable license agreement. Such termination could result in us losing the ability to develop and commercialize product candidates and technology covered by the licensed intellectual property. In the event of such termination of a third-party in-license, or if the underlying patent rights under a third-party in-license fail to provide the intended exclusivity, third parties may be able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Any of these events could have a material adverse effect on our competitive position, business, financial conditions,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current or future license agreements are terminated, or if the underlying patent rights fail to provide the intended exclusivity, competitors or other third parties may be able to seek regulatory approval of, and to market, products identical to ours and we may be required to cease the development and commercialization of our product candidates. Any of the foregoing could have a material adverse effect on our competitive position, business, financial condition, results of operations and prospects. Disputes may arise regarding intellectual property subject to a licensing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misappropriate or violate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rights to third parties under our license agreements or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license agreement with respect to the use of the licensed technology in relation to the development and commercialization of our product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licensor and us and our partners;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or future license agreements may be subject to certain rights retained by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 In addition, the United States federal government retains certain rights in inventions produced with its financial assistance under the Patent and Trademark Law Amendments Act (the “Bayh-Dole Act”), including a “nonexclusive, nontransferable, irrevocable, paid-up license” for its own benefit. We may at times choose to collaborate with academic institutions to accelerate our preclinical research or development that are subject to the Bayh-Dole Act.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non-United States product manufacturers for products covered by such intellectual property. Any exercise by the government of any of the foregoing rights could harm our competitive position,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ensure that patent rights relating to inventions described and claimed in our current or future licensors pending patent applications will issue or that patents based on us or any of our current future licensors patent applications will not be challenged and rendered invalid and/or unenforceable.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application process is subject to numerous risks and uncertainties, and there can be no assurance that we or any potential future licensors or collaborators will be successful in protecting our product candidates by obtaining and defending patents. We have several pending United States and foreign patent applications in our portfolio. We cannot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and when patents may issue based on our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of any patent issuing based on our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claims of any patent issuing based on our patent applications will provide protection against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or not third parties will find ways to invalidate or circumvent our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or not others will obtain patents claiming aspects similar to those covered by our patents and patent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enforce and/or defend our patent rights which will be costly whether we win or lose;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patent applications that we own will result in issued patents with claims that cover our product candidates or uses thereof in the United States or in other foreign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the claims in our or any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future licensors’ patent claims or, if issued, affect the validity or enforceability of a patent claim. Even if the patents do issue based on our or any future licensors’ patent applications, third parties may challenge the validity, enforceability or scope thereof, which may result in such patents being narrowed, invalidated or held unenforceable. Furthermore, even if they are unchallenged, patents in our or any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enjoy only limited geographical protection with respect to our patents and licensed patents and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protect our intellectual property rights throughout the world and the legal systems in certain countries may not favor enforcement or protection of patents, trade secrets and other intellectual property. Patents are of national or regional effect, and although we currently have issued patents and pending applications in the United States,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of our licensors’ inventions in all countries outside the United States, even in jurisdictions where we or any of our current or future licensors do pursue patent protection, or from selling or importing products made using our or any of our licensors’ inventions in and into the United States or other jurisdictions. Competitors may use our or any of our licensors’ technologies in jurisdictions where we have not obtained patent protection to develop their own products and, further, may export otherwise infringing products to territories where we or any future licensors have patent protection, but enforcement is not as strong as that in the United States. These competitor products may compete with our product candidates, and our or any of our licensors’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our licensors’ patents or marketing of competing products in violation of our proprietary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some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countries outside the United States have laws that may impact a patent owner’s right to claim priority or require a patent applicant to obtain a foreign filing license or first file patent applications in a foreign jurisdiction to the extent that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foreign laws, which could result in the rejection of pending applications or invalidation of issued patents. 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and annuity fees on any issued patent are due to be paid to the U.S. Patent and Trademark Office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drug candidates or if we or our licensors otherwise allow our patents or patent applications to be abandoned or lapse, our competitors might be able to enter the market, which would hurt our competitive position and could impair our ability to successfully commercialize our drug candidates in any indication for which they are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Issued patents covering one or more of our product candidates could be found invalid or unenforceable.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issued patents that we may license or own covering our product candidates could be narrowed or found invalid or unenforceable if challenged in court or before administrative bodies in the U.S. or abroad, including the USPTO. Patent terms, including any extensions or adjustments that may or may not be available to us, may be inadequate to protect our competitive position with respect to our product candidates for an adequate amount of time, and we may be subject to claims challenging the inventorship, validity, enforceability of our patents and/or other intellectual property. Further, if we encounter delays in our clinical trials or delays in obtaining regulatory approval, the period of time during which we could market our product candidates under patent protection would be reduced. Thus, the patents that we own and license may not afford us any meaningful competitive advantage.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or our licensors may be subject to a third-party pre-issuance submission of prior art to the USPTO or the European Patent Office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Patent terms may be inadequate to protect our competitive position with respect to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Once patents covering our product candidates have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patent term extension in the U.S. under the Hatch-Waxman Act and in foreign countries under similar legislation, thereby potentially extending the term of our marketing exclusivity for our product candidates, if approved,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However, a patent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 on patents covering such product candidates, there is no guarantee that the applicable authorities will agree with our assessment of whether such extension should be granted, and even if granted, the length of such extension.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there are detailed rules and requirements regarding the patents that may be submitted to the FDA for listing in the Licensed Biological Products with Reference Product Exclusivity and Biosimilarity or Interchangeability Evaluations (the “Purple Book”), a searchable, online database that contains information about biological products, including biosimilar and interchangeable biological products, licensed (approved) by the FDA under the Public Health Service Act. We may be unable to obtain patents covering our product candidates that contain one or more claims that satisfy the requirements for listing in the Purple Book. Even if we submit a patent for listing in the Purple Book, the FDA may decline to list the patent, or a manufacturer of generic drugs may challenge the listing. If any of our product candidates are approved and patents covering such product candidates are not listed in the Purple Book, a manufacturer of generic drugs would not have to provide advance notice to us of any abbreviated new drug application filed with the FDA to obtain permission to sell a generic version of such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patent laws in the U.S. and other jurisdictions could diminish the value of patents in general, thereby impairing our ability to protect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patent laws in the U.S., including patent reform legislation such as the Leahy-Smith America Invents Act (the “Leahy-Smith Act”), could increase the uncertainties and costs surrounding the prosecution of our future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challenge the validity of a patent at USPTO-administered post-grant proceedings, including post-grant review, inter partes review, and derivation proceedings.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Act, the U.S.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altered the rights of patent owners in certain situations. This combination of events has created uncertainty with respect to the validity and enforceability of patents once obtained. Depending on future legislation by the U.S. Congress, decisions by the federal courts and the USPTO, the laws and regulations governing patents could change in unpredictable ways that could have a material adverse effect on our patent rights and our ability to protect, defend and enforce our patent rights in the future. For example, in the case Amgen v. Sanofi, the Supreme Court held broad functional antibody claims invalid for lack of enablement. Similarly, in the case Juno v. Kite, the Federal Circuit held genus claims directed to CAR-T cells invalid for lack of written description for failing to provide disclosure commensurate with the scope of the claims. While we do not believe that any of the patents licensed or owned by us will be found invalid based on these decisions, we cannot predict how future decisions by the courts, the U.S.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 2012, the European Union Patent Package (“EU Patent Package”) regulations were passed with the goal of providing a single pan-European Unitary Patent (“UP”), covering all participating European Union member states, and a new European Unified Patent Court, UPC, for litigation involving European patents including all UPs.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if not opted out.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before the prescribed deadlines, our future European patents could remain under the jurisdiction of the UPC. The UPC will provide our competitors with a new forum to centrally revoke its European patents that have not been opted out,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patent searches or analyses, including the identification of relevant third party patents, the scope of said patent claims or the expiration of relevant patents, are complete, accurate or thorough, nor can we be certain that we have identified each and every third-party patent and pending application in the U.S. and abroad that is relevant to or necessary for the commercialization of our product candidates, if approved, in any jurisdiction. The scope of a patent claim is determined by an interpretation of the law, the written disclosure in a patent and the patent’s prosecution history. Our interpretation of the relevance or the scope of a patent or a pending application may be incorrect. Our determination of the expiration date of any patent in the U.S. or abroad that we consider relevant may be incorrect. Our failure to identify and correctly interpret relevant patents may negatively impact our ability to develop and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U.S. may be maintained in secrecy until the patents are issued, patent applications in the U.S.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 candidates or technology similar to ours. Any such patent application may have priority over our patent applications or patents, which could require us to obtain rights to issued patents covering such product candidates or technologies.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or any future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or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consultants, and contractors who may be involved in the conception or development of intellectual property to execute agreements assigning such intellectual property to us, it may be unsuccessful in executing such an agreement with each party who, in fact, conceives or develops intellectual property that we regard as our own. The assignment of intellectual property rights may not be self-executing, or the assignment agreements may be breached or challenged,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it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dissuade companies from collaborating with us to license, develop or commercialize current or future technologies and product candidates. Any of the foregoing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protect or enforce our patents or other intellectual property,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or other third parties may infringe our patents or trademarks or misappropriate or violate our other intellectual property rights. To counter infringement, misappropriation or unauthorized use, we or any future licensors may be required to file infringement or misappropriation claims, which can be expensive and time consuming and divert the time and attention of our management and scientific personnel. We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infringed their patents, in addition to counterclaims asserting that our patents or any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obviousness-type double patenting,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 or any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any future licensors’ patent claims do not cover the invention, or decide that the other party’s use of our or any future licensors’ patented technology falls under the safe harbor to patent infringement under 35 U.S.C. §271(e)(1). An adverse outcome in a litigation or proceeding involving our or any future licensors’ patents could limit our ability to assert our or any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it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involved in third-party claims of intellectual property infringement, misappropriation or violation, which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us avoiding infringement of the patents or trademarks and misappropriation or violation of other proprietary rights of third parties. There is a substantial amount of litigation involving the infringement of patents or trademarks and misappropriation or violation of other intellectual property rights in the biotechnology and pharmaceutical industries. We may be exposed to, or threatened with, future litigation by third parties having patent, trademark or other intellectual property rights and who allege that our product candidates, uses and/or other proprietary technologies infringe their patents or trademarks or misappropriate or violate their other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third party alleges that we infringed its patents or trademarks or misappropriate or violate its other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 and trademark infringement and other intellectual property misappropriation or violation which,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misappropriation or violation, which we may have to pay if a court decides that the product candidate or technology at issue infringes on, misappropriates or violates the third-party’s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injunction prohibiting us from manufacturing, marketing or selling our product candidates, or from using our proprietary technologies, unless the third party agrees to license its patent rights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license is available from a third party, we may have to pay substantial royalties, upfront fees and other amounts, and/or grant cross-licenses to intellectual property rights protecting our product candidates or processes;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forced to try to redesign our product candidates or processes so they do not infringe third-party patents or trademarks or misappropriate or violate other third party intellectual property rights, an undertaking which may not be possible or which may require substantial monetary expenditures and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its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which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its proprietary know-how. If a competitor independently develops a technology that we protect as a trade secret and files a patent application on that technology, then we may not be able to patent that technology in the future, may require a license from the competitor to use its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These lawsuits may consume our time and other resources even if we are successful. For example, significant elements of our products, including confidential aspects of sample preparation, methods of manufacturing, cell culturing conditions, computational-biological algorithms, and related processes and software, are based on unpatented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or consultants have wrongfully used or disclosed confidential information of our competitors or are in breach of non-competition or non-solicitation agreements with our competitors. These claims may be costly to defend and if we do not successfully do so, it may be required to pay monetary damages and may lose valuable intellectual property rights or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and engage the services of consultants who previously worked for or are concurrently employed at universities 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A loss of key research personnel or their work product could hamper our ability to develop and commercialize, or prevent us from developing and commercializing, our product candidates, which could severely harm our business.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effectively secure first-tier technologies when competing against other companies 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may require that we acquire patent rights and know-how to new or complementary technologies. However, we compete with a substantial number of other companies that may also compete for technologies we desire. In addition, many venture capital firms and other institutional investors, as well as other biotechnology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Numerous factors may limit any potential competitive advantage provided by our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pending patent applications that we may file or license may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should they issue, that we own or license, may not provide us with any competitive advantages, or may be challenged and held invalid or unenforceable;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develop and/or practice technology that is similar to our technology or aspects of our technology but that is not covered by the claims of any of our owned or in-licensed patents, should any such patents issue;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compete with us in jurisdictions where we do not pursue and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might not have been the first to make the inventions covered by a pending patent application that we own or license;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might not have been the first to file patent applications covering a particular invention;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obtain and/or maintain necessary licenses on reasonable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an ownership interest in our intellectual property and, if successful, such disputes may preclude us from exercising exclusive rights, or any rights at all, over that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maintain the confidentiality of our trade secrets or other proprietary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or in-license additional proprietary technologies that are patentable;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and results of operation.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obtaining regulatory approvals, both in the U.S.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U.S. without first obtaining regulatory approval from the FDA. Similarly, we cannot commercialize product candidates outside of the U.S. without obtaining regulatory approval from comparable foreign regulatory authorities. Before obtaining regulatory approvals for the commercial sale of our product candidates, including our most advanced product candidate, bempikibart, we must demonstrate through lengthy, complex and expensive preclinical and clinical trials that such product candidates are both safe and effective for each targeted indication. Securing regulatory approval also requires the submission of information about the drug manufacturing process to, and inspection of manufacturing facilities by, the relevant regulatory authority. Further, a product candidate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A product candidate could be delayed in receiving, or fail to receive, regulatory approval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and effective for our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serious and unexpected drug-related side effects may be experienced by participants in our clinical trials or by individuals using drugs similar to a product candidate, which may result in inquiries from or actions by regulatory authorities to address such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candidate’s clinical and other benefits outweigh our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a product candidate may not be acceptable or sufficient to support the submission of a Biologics License Application (“BLA”), a new drug application (“NDA”), or similar marketing application to obtain regulatory approval in the U.S. or elsewhere, and we may be required to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the applicable foreign regulatory authority may disagree regarding the formulation, labeling and/or the specifications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fail to approve the manufacturing processes or facilities of third-party manufacturers with which we may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us failing to obtain regulatory approval to market bempikibart or other product candidates, which would significantly harm our business, results of operations and prospects. The FDA’s and other regulatory authorities’ policies may change and additional government regulations may be enacted that could prevent, limit or delay regulatory approval of our product candidates. For example, the U.S. Supreme Court’s July 2024 decision to overturn prior established case law giving deference to regulatory agencies’ decisions and interpretations of ambiguous statutory language has introduced uncertainty regarding the extent to which the FDA’s regulations, policies and decisions may become subject to increasing legal challenges, delays, and/or changes. The U.S. Supreme Court stripped federal agencies of this presumptive deference and held that courts must exercise their independent judgment when deciding whether an agency such as the FDA acted within its statutory authority under the Administrative Procedure Act (the “APA”). Decisions such as this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were to obtain approval, regulatory authorities may approve any such product candidate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a product candidate, we will not be able to commercialize, or will be delayed in commercializing, such product candidate and our ability to generate revenue may be materially impaired.</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funding for, or other disruptions to the operations of, the FDA, the SEC, the National Institute of Health (“NIH”), and other government agencies, including from government shutdowns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U.S. administration is focused on reducing costs of the federal government generally, including significantly reducing the number of government employees at various federal agencies, including the FDA. Currently, most federal agencies in the U.S. are funded through September 30, 2026. Without appropriation of additional funding to federal agencies, our business operations related to our product development activities for the U.S. market could be impacted. The ability of the FDA to review and approve regulatory submissions and NIH’s ability to conduct and partner with industry on important research can be affected by a variety of factors, including government budget and funding levels, the ability to hire and retain key personnel and accept the payment of user fees, layoffs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prolonged government shutdown occurs, it could significantly impact the ability of the FDA to timely review and process regulatory submissions, which could have a material adverse effect on our business. Further, future government shutdowns could impact our ability to access the public markets and obtain necessary capital to properly capitalize and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the change in the U.S. presidential administration in 2025, there have been numerous legislative changes and there continues to be substantial uncertainty as to the extent and manner in which the Trump administration will continue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meet requirements for the chemistry, manufacturing and control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receive approval of our products by the FDA and comparable foreign regulatory authorities, we must show that we and our contract manufacturing partners are able to characterize, control and manufacture our drug and biologic products safely and in accordance with regulatory requirements. This includes synthesizing the active ingredient, developing an acceptable formulation, performing tests to adequately characterize the formulated product, documenting a repeatable manufacturing process and demonstrating that our products meet stability requirements. Meeting these chemistry, manufacturing and control (“CMC”) requirements is a complex task that requires specialized expertise. If we are not able to meet the CMC requirements, we may not be successful in advancing our clinical studies or obtaining regulatory approvals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and may in the future conduct clinical trials for our product candidates at sites outside the U.S., and the FDA may not accept data from trials conducted in such locations.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and may in the future choose to conduct clinical trials for our product candidates outside the U.S. Although the FDA may accept data from clinical trials conducted outside the U.S.,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U.S. or to continue such trials once initiated. Additionally, recent policy proposals in the U.S., if enacted in the future, may make acceptance by the FDA or inclusion in a marketing application of foreign data more difficult or costly.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risks inherent in conducting international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comply with foreign regulatory requirements, differences in healthcare services, and differences in cultural customs that could restrict or limit our ability to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administrative burdens of conducting clinical trials under multiple sets of foreign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diminished protection of intellectual property in some countries;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risks relevant to foreign countries.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for which we intend to seek approval as biologics may face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investigational biological products, if approved, could be considered reference products entitled to the 12-year period of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litigation. The approval of a biosimilar of any of our product candidates could have a material adverse impact on our business due to increased competition and pricing pressure.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of bempikibart or other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may receive for bempikibart or other product candidates will require the submission of reports to regulatory authorities and surveillance to monitor the safety and efficacy of such product candidates,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U.S. and by comparable foreign regulatory authorities. These requirements include submissions of safety and other post-marketing information and reports, registration, as well as ongoing compliance with cGMPs and GCPs for any clinical trials that we conduct following approval. In addition, manufacturers of drug substances and products and their facilities are subject to continual review and periodic, unannounced inspections by the FDA and other regulatory authorities for compliance with cGMPs.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bempikibart or other product candidates and generate revenue and could require us to expend significant time and resources in response and could generate negative publicity.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face difficulties from healthcare legislative reform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Existing regulatory policies may change and additional government regulations may be enacted that could prevent, limit or delay regulatory approval of bempikibart or other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w:t>
      </w:r>
      <w:r>
        <w:rPr>
          <w:rFonts w:ascii="Times New Roman" w:hAnsi="Times New Roman"/>
          <w:i/>
          <w:color w:val="000000"/>
          <w:sz w:val="20"/>
        </w:rPr>
        <w:t>Business-Government Regulation-Healthcare Reform</w:t>
      </w:r>
      <w:r>
        <w:rPr>
          <w:rFonts w:ascii="Times New Roman" w:hAnsi="Times New Roman"/>
          <w:color w:val="000000"/>
          <w:sz w:val="20"/>
        </w:rPr>
        <w:t xml:space="preserve">” in our Annual Report on Form 10-K for the year ended December 31, 2025 for a more detailed description of healthcare reforms measures that may prevent us from being able to generate revenue, attain profitability, or commercialize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continuing efforts of the government, insurance companies, managed care organizations and other payers of healthcare services to contain or reduce costs of healthcare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set a price that we believe is fair for any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revenues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OBBBA enacted significant Medicaid reforms, including approximately $1 trillion in federal spending reductions through 2034. Among other provisions, the legislation imposes work requirements for certain adult Medicaid enrollees, mandates more frequent eligibility redeterminations, and authorizes increased cost-sharing obligations for beneficiaries. These changes are expected to reduce overall Medicaid enrollment and limit access to care. Although the precise impact on our business is not yet clear, any reduction in the number of covered patients or reimbursement levels for our products could adversely affect our future revenue and commercial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Recent CMS proposals, including the Global Benchmark for Efficient Drug Pricing (“GLOBE”), the Guarding U.S. Medicare Against Rising Drug Costs (“GUARD”), and the GENErating cost Reductions for U.S. Medicaid (“GENEROUS”), which seek to incorporate most-favored nation (“MFN”) drug pricing into Medicare and Medicaid, could materially impact the Company’s revenue. The implementation of cost containment measures or other healthcare reforms may prevent us from being able to generate revenue, attain profitability or commercialize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current and future arrangements with investigators, healthcare professionals, consultants, third-party payors, patient organizations and customers will be subject to applicable healthcare regulatory laws, which could expose us to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business operations and current and future arrangements with investigators, healthcare professionals, consultants, third-party payors, patient organizations and customers may expose us to fraud and abuse and other healthcare laws and regulations. These laws may constrain the business or financial arrangements and relationships through which we conduct our operations, including how we research, market, sell and distribute our product candidates, if approved. See the section titled “</w:t>
      </w:r>
      <w:r>
        <w:rPr>
          <w:rFonts w:ascii="Times New Roman" w:hAnsi="Times New Roman"/>
          <w:i/>
          <w:color w:val="000000"/>
          <w:sz w:val="20"/>
        </w:rPr>
        <w:t>Business-Government Regulation-Other Healthcare Laws and Compliance Requirements</w:t>
      </w:r>
      <w:r>
        <w:rPr>
          <w:rFonts w:ascii="Times New Roman" w:hAnsi="Times New Roman"/>
          <w:color w:val="000000"/>
          <w:sz w:val="20"/>
        </w:rPr>
        <w:t xml:space="preserve">” in our Annual Report on Form 10-K for the year ended December 31, 2025 for a more detailed description of the laws that may affect our ability to operate.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bempikibart or other product candidates, due to unfavorable pricing regulations and/or third-party coverage and reimbursement policies, we may not be able to offer such products at competitive prices which would seriously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intend to seek approval to market bempikibart and other product candidates in both the U.S. and in selected foreign jurisdictions. If we obtain approval in one or more foreign jurisdictions for such product candidates, we will be subject to rules and regulations in those jurisdictions. Our ability to successfully commercialize any product candidates that we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programs, we may become subject to significant liability, which would materially adversely affect our business and financial condition. See the sections titled “</w:t>
      </w:r>
      <w:r>
        <w:rPr>
          <w:rFonts w:ascii="Times New Roman" w:hAnsi="Times New Roman"/>
          <w:i/>
          <w:color w:val="000000"/>
          <w:sz w:val="20"/>
        </w:rPr>
        <w:t>Business-Government Regulation-Coverage and Reimbursement</w:t>
      </w:r>
      <w:r>
        <w:rPr>
          <w:rFonts w:ascii="Times New Roman" w:hAnsi="Times New Roman"/>
          <w:color w:val="000000"/>
          <w:sz w:val="20"/>
        </w:rPr>
        <w:t>” and “-</w:t>
      </w:r>
      <w:r>
        <w:rPr>
          <w:rFonts w:ascii="Times New Roman" w:hAnsi="Times New Roman"/>
          <w:i/>
          <w:color w:val="000000"/>
          <w:sz w:val="20"/>
        </w:rPr>
        <w:t>Regulation in the EU</w:t>
      </w:r>
      <w:r>
        <w:rPr>
          <w:rFonts w:ascii="Times New Roman" w:hAnsi="Times New Roman"/>
          <w:color w:val="000000"/>
          <w:sz w:val="20"/>
        </w:rPr>
        <w:t xml:space="preserve">” in our Annual Report on Form 10-K for the year ended December 31, 2025 for a more detailed description of the government regulations and third-party payor practices that may affect our ability to commercialize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the U.S. tend to impose strict price controls, which may adversely affect our revenue,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our business, financial condition, results of operations or prospects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one or more designations or expedited programs for our product candidates, but may not receive such designations or be allowed to proceed on expedited program pathways, and even with the fast track designation (“FTD”) we received for bempikibart or may receive for another product candidate in the future, such designations or expedited programs may not lead to a faster development or regulatory review or approval process, and each designation does not increase the likelihood that any of our product candidates will receive regulatory approval in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we received FTD for bempikibart for the treatment of AA. In the future, we may seek FTD for other product candidates, where applicable. If a drug is intended for the treatment of a serious or life-threatening condition and nonclinical or clinical data for the drug demonstrates the potential to address an unmet medical need for such a condition, the drug sponsor may apply for FTD. The FDA has broad discretion whether to grant this designation, so even if we believe a particular product candidate is eligible for this designation, we cannot provide assurance that the FDA would decide to grant this designation. Even with the FTD granted to bempikibart or that may be granted to any other product candidate, as applicable, bempikibart or other product candidates may not experience a faster development process, review or approval compared to conventional FDA procedures. The FDA may withdraw FTD if it believes that the designation is no longer supported by data from the clinical development program. FTD alone does not guarantee qualification for the FDA’s priority review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for FDA review or approval will not be shortened.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trials to verify and describe the drug’s clinical benefit. Under the Food and Drug Omnibus Reform Act of 2022 (“FDORA”), the FDA is permitted to require, as appropriate, that a post-approval confirmatory trial or trials be underway prior to approval or within a specified time after the date of accelerated approval was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trials fail to verify the drug’s predicted clinical benefit. Under FDORA, the FDA is empowered to act, such as issuing fines, against companies that fail to conduct with due diligence any post-approval confirmatory trial or submit timely reports to the agency on their progress. In addition, for products being considered for accelerated approval, the FDA generally requires, unless otherwise informed by the Agency, that all advertising and promotional materials intended for dissemination or publication within 120 days of regulatory approval be submitted to the Agency for review during the pre-approval review period. Thus, even if we seek to utilize the accelerated approval pathway, we may not be able to obtain accelerated approval and, even if we do, we may not experience a faster development, regulatory review or approval process for that product. Moreover, even if we received accelerated approval, any post-approval trials required to confirm and verify clinical benefit may not show such benefit, which could lead to withdrawal of any approvals we have obtained. In addition, receiving accelerated approval does not assure that the product’s accelerated approval will eventually be converted to a traditional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pursue orphan drug designation for certain of our product candidates, but may not be able to obtain such designation, or obtain or maintain the benefits of such designation including orphan drug exclusivity, and even if we do obtain orphan designation for our product candidates, any orphan drug exclusivity it receives may not prevent regulatory authorities from approving other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orphan drug designation for some of our product candidates; however, we may never receive such designation. Under the Orphan Drug Act, the FDA may designate a product as an orphan drug if it is a drug or biologic intended to treat a rare disease or condition, defined as a patient population of fewer than 200,000 in the U.S., or a patient population of 200,000 or more in the U.S. where there is no reasonable expectation that the cost of developing the drug will be recovered from sales in the U.S. Orphan drug designation must be requested before submitting an NDA or a BLA. A similar regulatory scheme governs orphan products in the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Orphan drug designation entitles a party to financial incentives such as opportunities for grant funding towards clinical trial costs, tax advantages and application fee waivers. After the FDA grants orphan drug designation, the generic identity of the drug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its potential orphan use are disclosed publicly by the FDA. In addition, if a product candidate with an orphan drug designation subsequently receives the first regulatory approval for the indication for which it has such designation, the product is entitled to a period of marketing exclusivity, which precludes the FDA from approving another marketing application for the same product for the same therapeutic indication for seven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 product, that exclusivity may not effectively protect the product from competition because different products can be approved for the same approved use or condition. In addition, even after an orphan drug is approved, the FDA can subsequently approve the same product for the same approved use or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regulatory approval for any indication due to the uncertainties associated with developing pharmaceutical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further reevaluate the Orphan Drug Act and its regulations and policies. Additionally, legislation has been proposed by the European Commission that, if implemented, has the potential in some cases to shorten the ten-year period of orphan marketing exclusivity. It is unclear if, when, or how the FDA or other regulatory authorities may change the orphan drug regulations and policies in the future, and it is uncertain how any changes might affect our business. Depending on what changes the FDA or other regulatory authorities may make to their orphan drug regulations and policies, our business could be adversely impacted.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Third Party Relationships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currently rely and expect to rely on third parties in the future to conduct our clinical trials and some aspects of our research, as well as some aspects of our delivery methods,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and expect to continue to, rely on third parties, such as but not limited to CROs, clinical data management organizations, medical institutions, preclinical laboratories and clinical investigators, to conduct some aspects of our research. For example, we may rely on a third party to supply components of our product candidates, or to conduct some of our preclinical animal experiments. Any of these third parties may terminate their engagements with us at any time under certain criteria. If we need to enter into alternative arrangements, it may delay our product research and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For example, we will remain responsible for ensuring that each of our preclinical studies and clinical trials is conducted in accordance with the general investigational plan and protocols.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collaborations and license agreements with third parties, including our existing license agreements with BMS and expect to collaborate with third parties in the future. We may not be successful in finding strategic collaborators for continuing development of certain of our future product candidates or successfully commercializing or competing in the market for certain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collaborate with third-parties with respect to bempikibart. If any of our collaborators, licensors or licensees experience delays in performance of, or fail to perform their obligations under, their applicable agreements with us, disagree with our interpretation of the terms of such agreement or terminate their agreement with us, our pipeline of product candidates would be adversely affected. If we fail to comply with any of the obligations under our collaborations or license agreements, including payment terms and diligence terms, our collaborators, licensors or licensees may have the right to terminate our agreements, in which event we may lose intellectual property rights, market or sell the products covered by such agreements or may face other penalties under such agreements. Our collaborators, licensors or licensees may also fail to properly maintain or defend the intellectual property we have licensed from them, or infringe upon other third party intellectual property rights, leading to the potential invalidation of such third party’s intellectual property or subjecting us to litigation or arbitration, any of which would be time-consuming and expensive and could harm our ability to develop or commercialize our product candidates. Further, any of these relationships may require us to increase our near and long-term expenditures, issue securities that dilute our existing stockholders or disrupt our management and business. In addition, collaborators could independently develop, or develop with third parties, products that compete directly or indirectly with our product candidates and products if the collaborators believe that the competitive products are more likely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developed or can be commercialized under terms that are more economically attractive than under the agreements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future, we may decide to collaborate with entities such as, but not limited to,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it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the market and generate product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addressing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coordination of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from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relationships with strategic partners because of product acquisitions or strategic positioning resulting from the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challenges associated with integrating employees from the acquired company into our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write-offs or charges;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and anticipate that we will rely, on third parties to assist in designing, conducting, supervising and monitoring our preclinical studies and clinical trials, and if those third parties perform in an unsatisfactory manner, it may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and anticipate that we will rely, on third party clinical investigators, CROs, clinical data management organizations and consultants to help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in the supply and manufacture of our product candidates for our research, preclinical and clinical activities, and may do the same for commercial supplies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manufactured our product candidates on a commercial scale and may not be able to do so for any of our product candidates. We currently rely on third parties in the supply and manufacture of materials for our research, preclinical and clinical activities and may continue to do so for the foreseeable future, including if we received regulatory approval for any product candidate. We may do the same for the commercial supply of our drug product, if any. We use third parties to perform additional steps in the manufacturing process, such as the filling, finishing and labeling of vials and storage and shipping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fusion protein based antibodies and/or monoclonal antibodies, there may be increased competition for the supply of the raw materials that are necessary to make our fusion protein based antibodies and/or monoclonal antibodies, which could severely impact the manufacturing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 Regional or single-source dependencies may in some cases accentuate these risks. For example, the pharmaceutical industry generally, and in some cases of third parties on which we rely, depend on China-based suppliers or service producers for certain materials, products and services, or other activities. Our ability or the ability of the third parties we rely on to continue to engage these China-based suppliers or service providers for certain materials could be restricted due to geopolitical developments between the United States and China, including as a result of the escalation of tariffs or other trade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currently rely on foreign CROs and CDMOs, including WuXi Biologics, and will likely continue to rely on foreign CROs and CDMOs in the future. On December 18, 2025, the National Defense Authorization Act for Fiscal Year 2026 (“NDAA”) was enacted, which includes Section 851, commonly referred to as the “BIOSECURE Act.” The BIOSECURE Act restricts U.S. government agencies from procuring biotechnology equipment or services from, or entering into contracts with, entities that use biotechnology equipment or services from, designated “biotechnology companies of concern” (“BCCs”), and from expending federal loan or grant funds for such equipment or services. While WuXi Biologics is not currently listed as a BCC, earlier legislative drafts of the BIOSECURE Act explicitly identified WuXi as a BCC; and also on December 18, 2025, the chairmen of multiple Senate and House committees, including the House Select Committee on China, sent a letter to the Department of Defense recommending that WuXi Biologics (and other companies, including WuXi Apptec, which is unrelated to WuXi Biologics) should be added to the Department of Defense’s 1260H list, which would result in these entities being designated as a BCC. As a result of this same letter, while WuXi Biologics was not named to the 1260H list, WuXi AppTec was added to the 1260H list. WuXi Apptec has challenged this designation in court, however, it is uncertain whether this challenge will be successful.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WuXi Biologics, or any other of our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 investment, or ultimately commercialize any product candidates, which could materially harm our business, financial condition, and prospects. Although the BIOSECURE Act includes certain exceptions, waivers, and safe harbors, including a transition period for existing contracts following the issuance of implementing regulations, these provisions will be subject to agency interpretation and may be limited in scope or unavailable in particular circumstances. In addition, the BIOSECURE Act has not yet been fully implemented through final regulations, and the manner in which U.S. government agencies will interpret and enforce these restrictions remains uncertain. Any additional executive action, legislative action or potential sanctions with China could materially impact any Chinese vendor that we use and our agreements with them. In addition, foreign CDMOs may be subject to sanctions, tariffs, trade restrictions and other foreign regulatory requirements which could increase the cost or reduce the supply of material available to us, delay the procurement or supply of such material or have an adverse effect on our ability to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commercially reasonable terms, we may not be able to develop and commercialize our product candidates successfully. Failure to execute our manufacturing requirements, either by us or by one of our third-party vendors, could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relationships with healthcare providers, physicians, and third-party payors will be subject to applicable anti-kickback, fraud and abuse, anti-bribery and other healthcare laws and regulations, which could expose it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Healthcare providers, physicians, and third-party payors play a primary role in the recommendation and prescription of any product candidates that we may develop for which it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listed in the section above titled “</w:t>
      </w:r>
      <w:r>
        <w:rPr>
          <w:rFonts w:ascii="Times New Roman" w:hAnsi="Times New Roman"/>
          <w:i/>
          <w:color w:val="000000"/>
          <w:sz w:val="20"/>
        </w:rPr>
        <w:t>Risk Factors—Risks Related to Government Regulation</w:t>
      </w:r>
      <w:r>
        <w:rPr>
          <w:rFonts w:ascii="Times New Roman" w:hAnsi="Times New Roman"/>
          <w:color w:val="000000"/>
          <w:sz w:val="20"/>
        </w:rPr>
        <w:t xml:space="preserve">,” including certain laws and regulations applicable only if we have marketed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Personnel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growth may depend, in part, on our ability to operate in foreign markets, where we would be subject to additional regulatory burdens and other 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growth may depend, in part, on our ability to develop and commercialize bempikibart or other product candidates in foreign markets for which we may rely on collaboration with third parties. We are not permitted to market or promote any product candidates before we receive regulatory approval from the applicable foreign regulatory authority and may never receive such regulatory approval for any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bempikibart or other product candidates, and we cannot predict success in these jurisdictions. If we fail to comply with the regulatory requirements in international markets or to receive applicable marketing approvals, our target market will be reduced and our ability to realize the full market potential of bempikibart or other product candidates will be harmed, and our business will be adversely affected. Moreover, even if we obtain approval of bempikibart or other product candidates and ultimately commercialize such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consultants, commercial collaborators, principal investigators, CROs, CDMOs,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consultants, commercial collaborators, principal investigators, CROs, CDMOs, suppliers and vendors acting for or on our behalf may engage in misconduct or other improper activities.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systems, or those of any of our CROs, manufacturers, other contractors, third party service providers or consultants or potential future collaborators, may fail or suffer security incidents,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third party service providers and supply chain companies, and consultants, as well as other partners, these systems are potentially vulnerable to breakdown or other damage or interruption from service interruptions, system malfunction, natural disasters, terrorism, war and telecommunication and electrical failures, as well as security incidents and data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including the theft, fraud, and subsequent misuse of employee credentials, wrongful conduct by insider employees or vendors, denial-of-service attacks, ransomware attacks, business email compromises, computer malware, malicious codes, viruses, breakdown, wrongful intrusions, data breaches, and social engineering (including phishing attacks).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To the extent that any disruption or security breach were to result in a loss, destruction, unavailability, alteration or dissemination of, or damage to, our data or applications, or for us to be believed or reported that any of these occurred, we could incur liability and reputational damage and the development and commercialization of bempikibart or other product candidates could be delayed.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our employees work remotely and utilize network connections, computers, and devices outside our premises or network, including working at home, while in transit and in public locations, there are risks to our information technology systems and data. Additionally, business transactions (such as acquisitions or integrations) could expose us to additional cybersecurity threats, risks and vulnerabilities, as our systems could be negatively affected by vulnerabilities present in acquired or integrated entities’ systems and technologies or threats presented by malicious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like other organizations in our industry, have experienced and expect to experience cybersecurity incidents and threats to our infrastructure.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personal data); litigation (including class claims); indemnification obligations; negative publicity; reputational harm; monetary fund diversions; interruptions in our operations (including availability of data); increased investigation and compliance costs; financial loss; and other similar harms. Security incidents and attendant consequences may cause stakeholders (including investors and potential customers) to stop supporting our research and development activities, deter new customers from products, and negatively impact our ability to grow and operate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or from disruptions in, or failure or security breach of, our systems or third-party systems where information important to our business operations or commercial development is stored, or that such coverage will continue to be available on commercially reasonable terms or at all, or that such coverage will pay future claims.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and third parties with whom we work, are or may become subject to numerous domestic and foreign laws, regulations, and standards relating to privacy, data protection,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See the sections titled “</w:t>
      </w:r>
      <w:r>
        <w:rPr>
          <w:rFonts w:ascii="Times New Roman" w:hAnsi="Times New Roman"/>
          <w:i/>
          <w:color w:val="000000"/>
          <w:sz w:val="20"/>
        </w:rPr>
        <w:t>Business-Government Regulation-Data Privacy and Security</w:t>
      </w:r>
      <w:r>
        <w:rPr>
          <w:rFonts w:ascii="Times New Roman" w:hAnsi="Times New Roman"/>
          <w:color w:val="000000"/>
          <w:sz w:val="20"/>
        </w:rPr>
        <w:t>” and “</w:t>
      </w:r>
      <w:r>
        <w:rPr>
          <w:rFonts w:ascii="Times New Roman" w:hAnsi="Times New Roman"/>
          <w:i/>
          <w:color w:val="000000"/>
          <w:sz w:val="20"/>
        </w:rPr>
        <w:t>Other Regulatory Matters</w:t>
      </w:r>
      <w:r>
        <w:rPr>
          <w:rFonts w:ascii="Times New Roman" w:hAnsi="Times New Roman"/>
          <w:color w:val="000000"/>
          <w:sz w:val="20"/>
        </w:rPr>
        <w:t>” in our Annual Report on Form 10-K for the year ended December 31, 2025 for a more detailed description of the laws that may affect our ability to operate.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new and evolving technologies, such as artificial intelligence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use and integrate AI into our business processes both in our own development and implementation of AI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AI Act entered into force on August 1, 2024, with its obligations phasing in over 3 years. Significant parts of the law (including high-risk system obligations) have been deferred as a result of the EU's Digital Omnibus reform to December 2027 and August 2028. As currently enacted and amended as part of the EU’s Digital Omnibus, the AI Act imposes significant obligations on providers and deployers of high-risk AI systems, and encourages providers and deployers of AI systems to account for EU ethical principles in their development and use of these systems. The scope of requirements depends on judicial interpretations and forthcoming legislative amendments, and non-compliance can lead to significant fines.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that are governed by these laws or regulations, including as informed by regulatory guidance,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Any of these effects could damage our reputation, result in the loss of valuable property and information, cause us to breach applicable laws and regulations, and adversely impact our business. Bad actors around the world also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attract and retain qualified key management and scientists, staff, consultants and advisors, our ability to implement our business plan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 Further, some of the qualified personnel that we hire and recruit are not U.S. citizens. Changes to U.S. immigration policies, particularly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H-1B and other visa programs, could restrain the flow of technical and professional talent into the United States and may inhibit our ability to hire qualified personnel.</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expand our research, development, delivery, manufacturing, commercialization, regulatory and future sales and marketing capabilities over time,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22 full-time employees, including 3 who hold Ph.D. degrees and 1 who holds an M.D. degree; 11 employees are engaged in research and development and 11 employees in management or general and administrative activities. In connection with the growth and advancement of our pipeline and operating as a public company, we expect to focus the scope of our operations, particularly in the areas of drug development, regulatory affairs and sales and marketing. To manage our anticipated future growth, we must continue to implement and improve our managerial, operational and financial systems and continue to retain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Any inability to manage growth could delay the execution of our business plans or disrupt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it may develop will depend in part on our ability to effectively manage the future development and our expansion.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a product candidate in the clinical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Litigation costs and the outcome of litigation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itself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adversely affected by economic downturns, inflation, changes in interest rates, natural disasters, public health crises, political crises, government shutdowns, geopolitical events, or other macroeconomic conditions, which could have a material and adverse effect on our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international tariffs and uncertainty about economic stability. The Federal Reserve had raised interest rates multiple times in response to concerns about inflation until recently, and it may raise them again. Higher interest rates, coupled with reduced government spending and volatility in financial markets, may increase economic uncertainty and affect consumer spending. In addition, in July 2026, the U.S. imposed tariffs ranging from approximately 10% - 12.5% on virtually all imports to the U.S. The U.S. has also imposed significantly higher tariffs applicable to certain imports in select industries, including pharmaceuticals. These actions have resulted in other countries imposing additional tariffs on imports from the U.S., and may result in more retaliatory tariffs. Current or future tariffs will result in increased research and development expenses, including with respect to increased costs associated with active pharmaceutical ingredients (“APIs”), raw materials, laboratory equipment and research materials and components. There can be no assurance that deterioration in credit and financial markets and confidence in economic conditions will not occur. Similarly, global geopolitical disruptions, including civil or political unrest or military conflicts such as between Russia and Ukraine, between the U.S. and Iran in the Middle East and U.S.’s rising tensions with China have created extreme volatility in the global capital markets and commodity prices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we have incurred losses and may never achieve profitability. As of December 31, 2025 and December 31, 2024, we had federal and state net operating losses (“NOLs”) of $423.3 million and $233.4 million, respectively. Under current law, our federal NOLs generated in taxable years beginning after December 31, 2017, may be carried forward indefinitely, but the deductibility of such federal NOLs is limited to 80% of its taxable income annually for tax years beginning after December 31, 2020. Federal NOLs generated in taxable years beginning before January 1, 2018, however, have a 20-year carryforward period, but are not subject to the 80% limitation. Our state NOLs expire at various dates from 2040 through 2045. As of December 31, 2025, we had federal research and development tax credit carryforwards of $6.3 million that expire at various dates from 2041 through 2045. In addition, as of December 31, 2025, we had state research and development tax credit carryforwards of $2.4 million that expire at various dates from 2038 through 2045.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or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rolling three-year period, the corporation’s ability to use our pre-change NOLs and other pre-change tax attributes (such as research and development tax credits) to offset our post-change income or taxes may be limited. Similar rules may apply under state tax laws. Our prior equity offerings and other changes in our stock ownership may have resulted in such ownership changes in the past. We have not conducted a formal study to assess whether an ownership change has occurred or whether there have been multiple ownership changes since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inception. In addition, we may experience ownership changes in the future as a result of future securities offering or subsequent shifts in our stock ownership, some of which are outside of our control. As a result, even if we earn net taxable income in the future, our ability to use our pre-change NOLs or other pre-change tax attributes to offset U.S. federal taxable income or income taxes may be subject to limitations, which could potentially result in increased future tax liability to us.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The U.S. Congress, the Trump administration, or any new administration may make substantial changes to fiscal, tax, and other federal policies that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For example, the One Big Beautiful Bill Act (“OBBBA”) was signed into law on July 4, 2025 and made significant changes to U.S. federal tax law. Changes to tax laws (which changes may have retroactive application) could adversely affect our business and financial condition.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that we will pay any cash dividends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expectation is that we will retain our future earnings, if any, to fund the growth of our business as opposed to paying dividends. As a result, capital appreciation, if any, of our common stock will be your sole source of gain, if any,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An active trading market for our common stock may not develop and our stockholders may not be able to resell their shares of common stock for a profit,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Merger, there had been no public market for shares of Legacy Q32 capital stock. An active trading market for our shares of common stock may never develop or be sustained. If an active market for our common stock does not develop or is not sustained, it may be difficult for our stockholders to sell their shares at an attractive price or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of shares by existing stockholders could cause our stock price to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existing stockholders of Q32 sell, or indicate an intention to sell, substantial amounts of our common stock in the public market after legal restrictions on resale lapse, the trading price of our common stock could decline. As of June 30, 2026, we had 23,736,600 shares of common stock outstanding. Stockholders are not restricted from selling shares of our common stock held by them, other than by applicable securities laws. In addition, shares of common stock that are subject to outstanding options or warrants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 become eligible for sale in the public market to the extent permitted by the provisions of various vesting agreements and Rules 144 and 701 under the Securities Act. If these shares are sold, the trading price of our common stock could decline.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administrator of the 2024 Plan is authorized to exercise its discretion, and has exercised such discretion, to affect the repricing of stock options and there may be adverse consequences to our business due to the exercise of discretion by the administrator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2024 Plan, we are authorized to grant equity awards, including stock options, to our employees, directors and consultants. Our board of directors is the administrator of the 2024 Plan and is authorized to exercise its discretion to reduce the exercise price of stock options or effect the repricing of such awards. To provide added incentives to retain and motivate key contributors, our board of directors approved the Option Repricing in February 2025. As a result of such repricing or any potential future repricing, certain proxy advisory firms or institutional investors may be unsupportive of such actions and publicly criticize our compensation practices, and proxy advisory firms may recommend an “against” or “withhold” vote for members of our compensation committee. In addition, as we hold an advisory vote on named executive officer compensation (known as the “say-on-pay” vote) at the time of, or subsequent to, any such repricing, it is likely that proxy advisory firms would issue an “against” recommendation on our say-on-pay vote and institutional investors may not be supportive of our say-on-pay vote. If proxy advisory firms or institutional investors are successful in aligning their views with our broader stockholder base and we are required to make changes to the composition of our board and its committees, or if we need to make material changes to our compensation and corporate governance practices, our business might be disrupted and our stock price might be negatively impacted. Even if we are able to successfully rationalize the exercise of such discretionary power, defending against any “against” or “withhold” recommendation for members of our compensation committee, any “against” recommendation on our say on pay vote or public criticism could be distracting to management, and responding to such positions from such firms or investors, even if remedied, can be costly and time-consuming.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incurred costs, including accounting and administrative costs and attorneys’ fees, and have recognized incremental compensation expense as a result of the option repricing conducted in February 2025, and may further incur significant costs or be required to recognize incremental compensation expense as a result of any potential future repricing, even absent negative reactions from proxy advisory firms and institutional investors. These actions could cause our stock price to decrease and experience periods of increased volatility, which could result in material adverse consequences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our executive officers, directors and principal stockholders, in the aggregate, beneficially own approximately 33.7%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36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fluctuate in the future. As a result, we may fail to meet or exceed the expectations of research analysts or investors, which could cause our stock price to decline and negatively impact our financing or funding ability, as well as negatively impact our ability to exist as a standalone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and operating results have varied in the past and will continue to fluctuate from quarter-to-quarter and year-to-year in the future due to a variety of factors, many of which are beyond our control. Factors relating to our business that may contribute to these fluctuations include the following, as well as other factors described elsewhere in this Quarterly Report on Form 10-Q: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from entities that have developed or may develop programs for the diseases we plan to address with bempikibart or other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Bempikibart and the rest of our pipeline are in early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most advanced product candidate, bempikibart, and our clinical trials of our lead candidate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rights to develop and commercialize our product candidates are, and in the future, may be subject to the terms and conditions of licenses granted to us by others. If we fail to comply with our obligations in the agreements under which we license intellectual property rights from third parties, or these agreements are terminated, or we otherwise experience disruptions to our business relationships with our licensors, we could lose license rights that are important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patents and other proprietary rights is uncertain, exposing us to the possible loss of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attract and retain qualified key management and scientists, staff, consultants and advisors, our ability to implement our business plan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various factors mentioned herein, and others, the results of any of our prior quarterly or annual periods should not be relied upon as indications of our future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results may fluctuate significantly from quarter-to-quarter and year-to-year,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 Our stock price may also decline as a result of unexpected clinical trial results in one or more of our ongoing or future clinical trials.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these resources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results of operations or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and bylaws and the provisions under Delaware law could make an acquisition of our company more difficult and may prevent attempts by our stockholders to replace or remove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all members of the board are not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provide for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only the board of directors may fill vacancies on the board of directors created by the expansion of the board of directors or the resignation, death or removal of a director;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the board of directors or for proposing matters that can be acted 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and to determine the terms of those shares, including preferences and voting rights, without stockholder approval, which could be used to significantly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66.67% of the votes that all our stockholders would be entitled to cast to amend or repeal certain provisions of our charter or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DGCL, which prohibits stockholders owning in excess of 15% of the outstanding voting stock from merging or combining with us. Although Homology and Legacy Q32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of the company or our stockholders, (iii) any action asserting a claim arising pursuant to any provision of the DGCL, our certificate of incorporation or our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Our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is referred to herein as the “Federal Forum Provision.” In addition, our certificate of incorporation and bylaws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stockholders in pursuing any such claims, particularly if the stockholders do not reside in or near the State of Delaware. Additionally, the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19, 2025, we received written notice (the “Notice”) from the listing qualifications staff of the Nasdaq Stock Market LLC (the “Staff”) notifying us that, based on our Quarterly Report on Form 10-Q for the quarter ended March 31, 2025, which reported our stockholders’ equity (deficit) of approximately ($4.0 million), we were no longer in compliance with the minimum stockholders’ equity requirement of $2.5 million for continued listing on the Nasdaq Capital Market per Listing Rule 5550(b)(1). Additionally, the Notice also stated that as of May 19, 2025, we did not meet the alternatives of market value of listed securities of $35.0 million per Listing Rule 5550(b)(2) or net income from continuing operations of $0.5 million in our most recently completed fiscal year or in two of our three most recently completed fiscal years per Listing Rule 5550(b)(3), and as such, we did not comply with the Listing Rule 5550 for continued listing on the Nasdaq Capital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(deficit) was negatively impacted by the accounting treatment associated with the re-acquisition of bempikibart from Amgen in the fourth quarter of 2023. In 2022, Legacy Q32 and Horizon entered into the Horizon Collaboration Agreement to develop bempikibart in autoimmune diseases, pursuant to which Legacy Q32 received $55.0 million from Horizon, and Horizon had an option to acquire the bempikibart program at a prespecified price, subject to certain adjustments. In October 2023, Amgen completed its acquisition of Horizon plc. Following the closing of Amgen’s acquisition of Horizon plc, Legacy Q32 and Horizon entered into the Horizon Termination Agreement, pursuant to which Horizon’s option to acquire bempikibart was terminated. As a result, the Company retained all initial consideration and development funding received and agreed to pay Horizon regulatory and sales milestone payments of up to an aggregate amount of $75.1 million upon the first achievement of certain regulatory and sales milestones with respect to bempikibart. As a result of the Horizon Termination Agreement, we recorded a $55.0 million refund liability associated with the cash received by Horizon in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7, 2025, we and Amgen entered into an amendment to the Horizon Termination Agreement (the “Amgen Amendment”) pursuant to which we issued Horizon a one-time equity grant of 553,695 shares of the Company’s common stock as full consideration of the milestone payments outlined in the Horizon Termination Agreement. Following the transactions contemplated by the Amgen Amendment, we have no remaining obligations to Amgen, including with respect to the $75.1 million in regulatory and sales-based milestone payments set forth in the Horizon Collaboration Agreement. Therefore, we derecognized the refund liability previously recorded for the $55.0 million of cash received under the Horizon Collaboration Agreement. The completion of the transactions increases our stockholders’ equity by $55.0 million, which brings us back into compliance with the minimum stockholders’ equity listing requirement for continued listing on the Nasdaq Capital Market per Listing Rule 5550(b)(1).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18, 2025, we received Notice from the Staff indicating that based on the disclosure in our Quarterly Report on Form 10-Q for the period ended September 30, 2025, we are in compliance with the stockholders’ equity requirement for continued listing on the Nasdaq Capital Market per Listing Rule 5550(b)(1).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we fail to satisfy other continued listing requirements of Nasdaq, such as the corporate governance requirements or the minimum share price requirement, or fail to regain compliance with Listing Rule 550(b)(1), Nasdaq may take steps to delist our securities. Such a delisting would likely have a negative effect on the price of the securities and would impair your ability to sell or purchase the securities when you wish to do so. In the event of a delisting, any action taken by us to restore compliance with listing requirements may not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over-the-counter bulletin board, an inter-dealer automated quotation system for equity securities that is not a national securities exchange, the liquidity and price of our securities may be more limited than if we were quoted or listed on Nasdaq or another national securities exchange.</w:t>
      </w:r>
    </w:p>
    <w:p>
      <w:pPr>
        <w:pStyle w:val="TextBody"/>
        <w:bidi w:val="0"/>
        <w:spacing w:before="36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qualify as a “smaller reporting company,” as such term is defined in Rule 12b-2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Act, which allows us to take advantage of many of the same exemptions from disclosure requirements, including not being required to comply with the auditor attestation requirements of Section 404(b) of the Sarbanes-Oxley Act and reduced disclosure obligations regarding executive compensation in this Quarterly Report on Form 10-Q and in our other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identify, or if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If we are unable to successfully remediate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Provided we continue to be listed on the Nasdaq Stock Market LLC, we will be subject to the reporting requirements of the Exchange Act, the Sarbanes-Oxley Act and the rules and regulations of the Nasdaq Stock Market LLC. The Sarbanes-Oxley Act requires, among other things, that we maintain effective disclosure controls and procedures and internal control over financial reporting. We must perform system and process evaluations and testing of our internal control over financial reporting to allow management to report on the effectiveness of our internal controls over financial reporting in our Annual Report on Form 10-K filing for that year, as required by Section 404 of the Sarbanes-Oxley Act. We have incurred and will continue to incur substantial professional fees and internal costs to expand our accounting and finance functions with significant management efforts. We may experience difficulty in meeting these reporting requirements in a timely manner.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the Nasdaq Stock Market LLC, the SEC or other regulatory authorities.</w:t>
      </w:r>
    </w:p>
    <w:p>
      <w:pPr>
        <w:pStyle w:val="TextBody"/>
        <w:bidi w:val="0"/>
        <w:spacing w:before="360" w:after="283"/>
        <w:jc w:val="left"/>
        <w:rPr>
          <w:rFonts w:ascii="Times New Roman" w:hAnsi="Times New Roman"/>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that affect financial institutions, such as events involving liquidity that are rumored or actual, have in the past and may in the future lead to bank failures and market-wide liquidity problems. For example, on March 10, 2023, Silicon Valley Bank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Silicon Valley Bank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government securities held by financial institutions to mitigate the risk of potential losses on the sale of such instruments and help address liquidity pressures that may arise. There is no guarantee, however, that the U.S. Department of Treasury, FDIC and Federal Reserve will provide access to uninsured funds in the future in the event of the closure of other banks or financial institutions, or that they would do so in a timely fashion.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this time, we hold the majority of our cash on deposit at Silicon Valley Bank (which has been assumed by First Citizens) and we have not experienced any adverse impact to our current and projected business operations, financial condition or results of operations as a result of the closure of Silicon Valley Bank or any other banks. We have diversified our cash deposit holdings between multiple financial institutions. However, uncertainty remains over liquidity concerns in the broader financial services industry,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and cash equivalents may be threatened.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assessed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 </w:t>
      </w:r>
    </w:p>
    <w:p>
      <w:pPr>
        <w:pStyle w:val="TextBody"/>
        <w:bidi w:val="0"/>
        <w:spacing w:before="360" w:after="283"/>
        <w:jc w:val="left"/>
        <w:rPr>
          <w:rFonts w:ascii="Times New Roman" w:hAnsi="Times New Roman"/>
          <w:sz w:val="20"/>
        </w:rPr>
      </w:pPr>
      <w:bookmarkStart w:id="15" w:name="item2_unregistered_sales_equity_securiti"/>
      <w:bookmarkEnd w:id="15"/>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Rule 10b5-1 plans or non-Rule 10b5-1 trading arrangements were adopted, modified, or terminated by officers or directors of the Company, nor were there any material changes to the procedures by which security holders may recommend nominees to the Company’s board of directors, during the quarter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6_exhibit"/>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926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5" w:type="dxa"/>
            <w:tcBorders/>
            <w:vAlign w:val="center"/>
          </w:tcPr>
          <w:p>
            <w:pPr>
              <w:pStyle w:val="TableContents"/>
              <w:bidi w:val="0"/>
              <w:spacing w:before="0" w:after="283"/>
              <w:jc w:val="left"/>
              <w:rPr>
                <w:sz w:val="4"/>
                <w:szCs w:val="4"/>
              </w:rPr>
            </w:pPr>
            <w:r>
              <w:rPr>
                <w:sz w:val="4"/>
                <w:szCs w:val="4"/>
              </w:rPr>
            </w:r>
          </w:p>
        </w:tc>
      </w:tr>
      <w:tr>
        <w:trP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November 16, 2023, by and among Homology Medicines, Inc., Kenobi Merger Sub, Inc. and Q32 Bio Inc (incorporated by reference to Exhibit 2.1 of the Registrant’s Registration Statement on form S-4 filed December 18, 2023 (File No. 333-276093)).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Certificate of Incorporation, as currently in effect (incorporated by reference to Exhibit 3.1 of the Registrant’s Form 8-K filed April 3, 2018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the Amended and Restated Certificate of Incorporation of the Company—reverse stock split and authorized share increase, dated March 25, 2024 (incorporated by reference to Exhibit 3.1 of the Registrant’s Form 8-K filed March 27, 2024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Amended and Restated Certificate of Incorporation of the Company—name change, dated March 25, 2024 (incorporated by reference to Exhibit 3.2 of the Registrant’s Form 8-K filed March 27, 2024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the Amended and Restated Certificate of Incorporation of the Company-officer exculpation, dated June 16, 2025 (incorporated by reference to Exhibit 3.1 of the Registrant’s Form 8-K filed June 17, 2025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as currently in effect (incorporated by reference to Exhibit 3.1 of the Registrant’s Form 8-K filed December 18, 2020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Amendment No. 1 to Pre-Funded Warrant (incorporated by reference to Exhibit 4.1 of the Registrant’s Form 10-Q filed on May 5, 2026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 (incorporated by reference to Exhibit 4.1 of the Registrant’s Form 8-K filed on May 27, 2026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Securities Purchase Agreement (incorporated by reference to Exhibit 10.1 of the Registrant’s Form 8-K filed on May 27, 2026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Registration Rights Agreement (incorporated by reference to Exhibit 10.2 of the Registrant’s Form 8-K filed on May 27, 2026 (File No. 001-38433).</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tt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tt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tt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tt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 and included in Exhibits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jc w:val="left"/>
        <w:rPr>
          <w:rFonts w:ascii="Times New Roman" w:hAnsi="Times New Roman"/>
          <w:color w:val="000000"/>
          <w:sz w:val="20"/>
        </w:rPr>
      </w:pPr>
      <w:r>
        <w:rPr>
          <w:rFonts w:ascii="Times New Roman" w:hAnsi="Times New Roman"/>
          <w:color w:val="000000"/>
          <w:sz w:val="20"/>
        </w:rPr>
        <w:t>+ Annexes, schedules and exhibits have been omitted pursuant to Item 601(b)(2) or 601(a)(5), as applicable, of Regulation S-K. The registrant agrees to furnish supplementally a copy of any omitted attachment to the SEC on a confidential basis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49" w:type="dxa"/>
        <w:jc w:val="left"/>
        <w:tblInd w:w="0" w:type="dxa"/>
        <w:tblLayout w:type="fixed"/>
        <w:tblCellMar>
          <w:top w:w="28" w:type="dxa"/>
          <w:left w:w="28" w:type="dxa"/>
          <w:bottom w:w="28" w:type="dxa"/>
          <w:right w:w="28" w:type="dxa"/>
        </w:tblCellMar>
      </w:tblPr>
      <w:tblGrid>
        <w:gridCol w:w="1846"/>
        <w:gridCol w:w="146"/>
        <w:gridCol w:w="406"/>
        <w:gridCol w:w="31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Q32 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Jodie Morrison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Jodie Morrison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Lee Kalowski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Lee Kalowski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bookmarkStart w:id="21" w:name="qttb-ex31_1.htm"/>
      <w:bookmarkStart w:id="22" w:name="ksqtt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 RULES 13A-14(A) AND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Jodie Morrison,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Q32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54" w:type="dxa"/>
        <w:jc w:val="left"/>
        <w:tblInd w:w="0" w:type="dxa"/>
        <w:tblLayout w:type="fixed"/>
        <w:tblCellMar>
          <w:top w:w="28" w:type="dxa"/>
          <w:left w:w="28" w:type="dxa"/>
          <w:bottom w:w="28" w:type="dxa"/>
          <w:right w:w="28" w:type="dxa"/>
        </w:tblCellMar>
      </w:tblPr>
      <w:tblGrid>
        <w:gridCol w:w="1846"/>
        <w:gridCol w:w="146"/>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Jodie Morrison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Jodie Morrison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color w:val="000000"/>
              </w:rPr>
            </w:pPr>
            <w:r>
              <w:rPr>
                <w:color w:val="000000"/>
              </w:rPr>
              <w:t> </w:t>
            </w: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qttb-ex31_2.htm"/>
      <w:bookmarkStart w:id="24" w:name="ksqttb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 RULES 13A-14(A) AND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Lee Kalowski,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quarter ended June 30, 2026 of Q32 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99" w:type="dxa"/>
        <w:jc w:val="left"/>
        <w:tblInd w:w="0" w:type="dxa"/>
        <w:tblLayout w:type="fixed"/>
        <w:tblCellMar>
          <w:top w:w="28" w:type="dxa"/>
          <w:left w:w="28" w:type="dxa"/>
          <w:bottom w:w="28" w:type="dxa"/>
          <w:right w:w="28" w:type="dxa"/>
        </w:tblCellMar>
      </w:tblPr>
      <w:tblGrid>
        <w:gridCol w:w="1846"/>
        <w:gridCol w:w="146"/>
        <w:gridCol w:w="406"/>
        <w:gridCol w:w="33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Lee Kalowski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Lee Kalowski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President</w:t>
            </w:r>
          </w:p>
          <w:p>
            <w:pPr>
              <w:pStyle w:val="TableContents"/>
              <w:bidi w:val="0"/>
              <w:spacing w:before="0" w:after="283"/>
              <w:jc w:val="center"/>
              <w:rPr>
                <w:color w:val="000000"/>
              </w:rPr>
            </w:pPr>
            <w:r>
              <w:rPr>
                <w:color w:val="000000"/>
              </w:rPr>
              <w:t> </w:t>
            </w: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qttb-ex32_1.htm"/>
      <w:bookmarkStart w:id="26" w:name="ksqttb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Jodie Morrison, Chief Executive Officer of Q32 Bio Inc. (the “Company”), hereby certify, pursuant to 18 U.S.C. §1350, as adopted pursuant to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Quarterly Report on Form 10-Q of the Company for the quarterly period ended June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137" w:type="dxa"/>
        <w:jc w:val="left"/>
        <w:tblInd w:w="0" w:type="dxa"/>
        <w:tblLayout w:type="fixed"/>
        <w:tblCellMar>
          <w:top w:w="28" w:type="dxa"/>
          <w:left w:w="28" w:type="dxa"/>
          <w:bottom w:w="28" w:type="dxa"/>
          <w:right w:w="28" w:type="dxa"/>
        </w:tblCellMar>
      </w:tblPr>
      <w:tblGrid>
        <w:gridCol w:w="1366"/>
        <w:gridCol w:w="109"/>
        <w:gridCol w:w="406"/>
        <w:gridCol w:w="3256"/>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Jodie Morrison</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Jodie Morrison</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qttb-ex32_2.htm"/>
      <w:bookmarkStart w:id="28" w:name="ksqttb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Lee Kalowski, Chief Financial Officer of Q32 Bio Inc. (the “Company”), hereby certify, pursuant to 18 U.S.C. §1350, as adopted pursuant to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Quarterly Report on Form 10-Q of the Company for the quarterly period ended June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182" w:type="dxa"/>
        <w:jc w:val="left"/>
        <w:tblInd w:w="0" w:type="dxa"/>
        <w:tblLayout w:type="fixed"/>
        <w:tblCellMar>
          <w:top w:w="28" w:type="dxa"/>
          <w:left w:w="28" w:type="dxa"/>
          <w:bottom w:w="28" w:type="dxa"/>
          <w:right w:w="28" w:type="dxa"/>
        </w:tblCellMar>
      </w:tblPr>
      <w:tblGrid>
        <w:gridCol w:w="1366"/>
        <w:gridCol w:w="109"/>
        <w:gridCol w:w="406"/>
        <w:gridCol w:w="3301"/>
      </w:tblGrid>
      <w:tr>
        <w:trPr/>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Lee Kalowski</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Lee Kalowski</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President</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1998/000119312523296880/d938280dex21.htm" TargetMode="External"/><Relationship Id="rId3" Type="http://schemas.openxmlformats.org/officeDocument/2006/relationships/hyperlink" Target="https://www.sec.gov/Archives/edgar/data/1661998/000119312518106196/d535307dex31.htm" TargetMode="External"/><Relationship Id="rId4" Type="http://schemas.openxmlformats.org/officeDocument/2006/relationships/hyperlink" Target="https://www.sec.gov/Archives/edgar/data/1661998/000119312524077930/d811189dex31.htm" TargetMode="External"/><Relationship Id="rId5" Type="http://schemas.openxmlformats.org/officeDocument/2006/relationships/hyperlink" Target="https://www.sec.gov/Archives/edgar/data/1661998/000119312524077930/d811189dex32.htm" TargetMode="External"/><Relationship Id="rId6" Type="http://schemas.openxmlformats.org/officeDocument/2006/relationships/hyperlink" Target="https://www.sec.gov/Archives/edgar/data/1661998/000119312525142039/d936533dex31.htm" TargetMode="External"/><Relationship Id="rId7" Type="http://schemas.openxmlformats.org/officeDocument/2006/relationships/hyperlink" Target="https://www.sec.gov/Archives/edgar/data/1661998/000119312520321448/d69248dex31.htm" TargetMode="External"/><Relationship Id="rId8" Type="http://schemas.openxmlformats.org/officeDocument/2006/relationships/hyperlink" Target="https://www.sec.gov/Archives/edgar/data/1661998/000119312526205021/qttb-ex4_1.htm" TargetMode="External"/><Relationship Id="rId9" Type="http://schemas.openxmlformats.org/officeDocument/2006/relationships/hyperlink" Target="https://www.sec.gov/Archives/edgar/data/1661998/000119312526241846/d228038dex41.htm" TargetMode="External"/><Relationship Id="rId10" Type="http://schemas.openxmlformats.org/officeDocument/2006/relationships/hyperlink" Target="https://www.sec.gov/Archives/edgar/data/1661998/000119312526241846/d228038dex101.htm" TargetMode="External"/><Relationship Id="rId11" Type="http://schemas.openxmlformats.org/officeDocument/2006/relationships/hyperlink" Target="https://www.sec.gov/Archives/edgar/data/1661998/000119312526241846/d228038dex102.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66170</Words>
  <Characters>368088</Characters>
  <CharactersWithSpaces>434572</CharactersWithSpaces>
  <Paragraphs>4842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