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Violette Shelia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Q32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830 WINTER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Q32 Bio Inc.</w:t>
              </w:r>
            </w:hyperlink>
            <w:r>
              <w:rPr/>
              <w:t xml:space="preserve"> [ </w:t>
            </w:r>
            <w:r>
              <w:rPr>
                <w:rFonts w:ascii="Times;serif" w:hAnsi="Times;serif"/>
                <w:color w:val="0000FF"/>
                <w:sz w:val="24"/>
                <w:shd w:fill="FFFFFF" w:val="clear"/>
              </w:rPr>
              <w:t>QTTB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752"/>
        <w:gridCol w:w="1156"/>
        <w:gridCol w:w="993"/>
        <w:gridCol w:w="104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127,771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36,277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Violette Holdings LLC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required to be sold by the Reporting Person to cover tax withholding obligations in connection with the vesting of restricted stock units. These sales were automatic and not in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Violette Holdings LLC ("Violette Holdings"). The Reporting Person is a manager of Violette Holdings and disclaims beneficial ownership of these shares except to the extent of her pecuniary interest therein, if any, and this report shall not be deemed an admission that she is the beneficial owner of such shares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Bell,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6144" TargetMode="External"/><Relationship Id="rId5" Type="http://schemas.openxmlformats.org/officeDocument/2006/relationships/hyperlink" Target="http://www.sec.gov/cgi-bin/browse-edgar?action=getcompany&amp;CIK=00016619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3648</Characters>
  <CharactersWithSpaces>4254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